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3C6" w:rsidRDefault="008123C6" w:rsidP="008123C6">
      <w:pPr>
        <w:widowControl w:val="0"/>
        <w:autoSpaceDE w:val="0"/>
        <w:autoSpaceDN w:val="0"/>
        <w:adjustRightInd w:val="0"/>
        <w:spacing w:after="240"/>
        <w:rPr>
          <w:rFonts w:ascii="Times" w:hAnsi="Times" w:cs="Times"/>
          <w:lang w:val="en-US"/>
        </w:rPr>
      </w:pPr>
      <w:bookmarkStart w:id="0" w:name="_GoBack"/>
      <w:bookmarkEnd w:id="0"/>
      <w:r>
        <w:rPr>
          <w:rFonts w:ascii="Helvetica" w:hAnsi="Helvetica" w:cs="Helvetica"/>
          <w:b/>
          <w:bCs/>
          <w:lang w:val="en-US"/>
        </w:rPr>
        <w:t>UNOFFICIAL TRANSLATIONS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Guidelines for Environmental and Social Impact Assessments of the China Export and Import Bank’s Loan Projects............................................................................................1 Guidelines on Fulfilling Social Responsibility by Central Enterprises ..............................4 Nine Principles on Encouraging and Standardizing Foreign Investment .........................7</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b/>
          <w:bCs/>
          <w:sz w:val="30"/>
          <w:szCs w:val="30"/>
          <w:lang w:val="en-US"/>
        </w:rPr>
        <w:t>China Export and Import Bank</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b/>
          <w:bCs/>
          <w:sz w:val="40"/>
          <w:szCs w:val="40"/>
          <w:lang w:val="en-US"/>
        </w:rPr>
        <w:t>Guidelines for Environmental and Social Impact Assessments of the China Export and Import Bank’s Loan Projects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28 August 2007</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b/>
          <w:bCs/>
          <w:i/>
          <w:iCs/>
          <w:sz w:val="30"/>
          <w:szCs w:val="30"/>
          <w:lang w:val="en-US"/>
        </w:rPr>
        <w:t>Excerpts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b/>
          <w:bCs/>
          <w:sz w:val="30"/>
          <w:szCs w:val="30"/>
          <w:lang w:val="en-US"/>
        </w:rPr>
        <w:t>General Principles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1. In order to implement the national strategies for sustainable development, promote economic, social and environmental development, and effectively control credit risks, the Guidelines were developed according to the "People's Republic of China’s Environmental Impact Assessment (EIA) Act," "People's Republic of China’s Environmental Protection Law", "Environmental Management for Construction Project Ordinance" and other relevant state laws and regulations, and with reference to the relevant regulations and procedures for the environmental and social assessments of international financial organizations.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2. These Guidelines apply to the loan procedure of China EXIM Bank.</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 xml:space="preserve">Article 3. The China EXIM Bank’s loan projects are classified as domestic or offshore projects, according to the area in which the </w:t>
      </w:r>
      <w:r>
        <w:rPr>
          <w:rFonts w:ascii="Helvetica" w:hAnsi="Helvetica" w:cs="Helvetica"/>
          <w:sz w:val="30"/>
          <w:szCs w:val="30"/>
          <w:lang w:val="en-US"/>
        </w:rPr>
        <w:lastRenderedPageBreak/>
        <w:t>projects are implemented...Offshore projects refer to the projects that are implemented outside China with China EXIM Bank’s loan support.</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4. When China EXIM Bank reviews its loan projects, not only economic benefits, but also social benefits and environmental demands are considered.</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5. Environmental assessment refers to the systematic analysis and evaluation of the environmental impacts and its related impacts on human health and safety due to the implementation of the projects. It then proposes policies and measures to reduce the impact. The scope of the impact assessment includes air, water, soil, waste, natural environment and other factors.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6. Social impact refers to the systematic analysis and assessment of the impact on socioeconomic, natural resources and social environment caused by project implementation, and proposes policies and measures to reduce that impact. The scope of evaluation includes labour and terms of employment, social security and health, land acquisition and migrants’ protection, etc.</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1</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b/>
          <w:bCs/>
          <w:lang w:val="en-US"/>
        </w:rPr>
        <w:t>UNOFFICIAL TRANSLATIONS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b/>
          <w:bCs/>
          <w:sz w:val="30"/>
          <w:szCs w:val="30"/>
          <w:lang w:val="en-US"/>
        </w:rPr>
        <w:t>Chapter Two: Offshore Project Evaluation</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12. Offshore project assessments should abide by the following principles: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(1) An EIA should be done during the pre-loan and loan-period review, in order to monitor the environmental impacts during post-loan management.</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(2) The host country's environmental policies and standards are the basis for evaluation. Offshore projects of the host country should abide by the requirements of their laws and regulations and obtain corresponding environmental permits. When the host country does not have a complete environmental protection mechanism or lacks environmental and social impact assessment policy and standards, we should refer to our country’s standards or international practices.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(3) Respect the local people’s rights to land and resources, and properly handle the resettlement problems.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(4) For the projects that have serious negative impacts on the local environment, we should openly consult the public in accordance with the host country’s requirements.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13. China EXIM Bank follows these procedures of environmental and social assessment for offshore projects: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(1) The borrowers or project owners hand in the approval document and environmental and social impact assessment report issued by the authorities of the host country.</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(2) China EXIM Bank reviews the loan application documents submitted by the borrower and hires independent experts when necessary.</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(3) China EXIM Bank negotiates with the project owners or the borrowers to amend the construction project proposal, based on the environmental and social assessments.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14. China EXIM Bank, if necessary, can require the inclusion of environmental and social responsibilities in the loan contract, in order to monitor and restrain the behaviour of borrowers.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b/>
          <w:bCs/>
          <w:sz w:val="30"/>
          <w:szCs w:val="30"/>
          <w:lang w:val="en-US"/>
        </w:rPr>
        <w:t>Chapter Three: Loan Management and Supervision</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15. China EXIM Bank shall inspect and monitor the project's construction and operation, based on the results of environmental and social impact assessments.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16. For projects under construction, the borrowers or project owners should regularly report to the China EXIM Bank the actual impacts on the environment and society brought by project construction, and the status of implementation measures in eliminating and controlling these impacts. China EXIM Bank shall inspect the post-loan management of the projects including environmental and social impacts.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17. On the completion of projects, the borrowers or project owners of the construction projects should hand in the environmental acceptance documents for the</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2</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b/>
          <w:bCs/>
          <w:lang w:val="en-US"/>
        </w:rPr>
        <w:t>UNOFFICIAL TRANSLATIONS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completion of projects, which should follow "the environmental acceptance on the completion of the construction project management measures" (the SEPA Order Year 2001 No. 13); the borrowers or project owners of the offshore construction projects should hand in the environmental acceptance documents for completion of projects to the China EXIM Bank. The documents should meet the requirements of the host country’s regulations.</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18. For construction projects during the operation phase, China EXIM Bank should conduct tracking management and post-evaluation work. The monitoring of project's environmental and social impact should combine with the post-loan management of the loan projects, and the post-loan inspection report should include environmental and social impact content.</w:t>
      </w:r>
    </w:p>
    <w:p w:rsidR="008123C6" w:rsidRDefault="008123C6" w:rsidP="008123C6">
      <w:pPr>
        <w:widowControl w:val="0"/>
        <w:autoSpaceDE w:val="0"/>
        <w:autoSpaceDN w:val="0"/>
        <w:adjustRightInd w:val="0"/>
        <w:spacing w:after="240"/>
        <w:rPr>
          <w:rFonts w:ascii="Times" w:hAnsi="Times" w:cs="Times"/>
          <w:lang w:val="en-US"/>
        </w:rPr>
      </w:pPr>
      <w:r>
        <w:rPr>
          <w:rFonts w:ascii="Helvetica" w:hAnsi="Helvetica" w:cs="Helvetica"/>
          <w:sz w:val="30"/>
          <w:szCs w:val="30"/>
          <w:lang w:val="en-US"/>
        </w:rPr>
        <w:t>Article 19. For projects under construction or are operating that cause serious environmental and social problems, China EXIM Bank has the right to require the borrowers or project owners to take timely measures to eliminate these impacts. If they fail to eliminate the impacts of the projects, the China EXIM Bank has the right to stop disbursing the loans and demand an early payback of the loan, in accordance with contract.</w:t>
      </w:r>
    </w:p>
    <w:p w:rsidR="005D4085" w:rsidRDefault="005D4085"/>
    <w:sectPr w:rsidR="005D4085" w:rsidSect="004C053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3C6"/>
    <w:rsid w:val="00064AA2"/>
    <w:rsid w:val="00464887"/>
    <w:rsid w:val="005D4085"/>
    <w:rsid w:val="008123C6"/>
    <w:rsid w:val="00F02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945</Words>
  <Characters>5390</Characters>
  <Application>Microsoft Macintosh Word</Application>
  <DocSecurity>0</DocSecurity>
  <Lines>44</Lines>
  <Paragraphs>12</Paragraphs>
  <ScaleCrop>false</ScaleCrop>
  <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Garzon</dc:creator>
  <cp:keywords/>
  <dc:description/>
  <cp:lastModifiedBy>Paulina Garzon</cp:lastModifiedBy>
  <cp:revision>2</cp:revision>
  <dcterms:created xsi:type="dcterms:W3CDTF">2015-01-29T20:24:00Z</dcterms:created>
  <dcterms:modified xsi:type="dcterms:W3CDTF">2015-01-29T20:24:00Z</dcterms:modified>
</cp:coreProperties>
</file>