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9B" w:rsidRDefault="00C44E9B">
      <w:bookmarkStart w:id="0" w:name="_GoBack"/>
      <w:bookmarkEnd w:id="0"/>
    </w:p>
    <w:p w:rsidR="00CC0B3D" w:rsidRDefault="00CC0B3D">
      <w:r>
        <w:t>Attendees: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0C29" w:rsidRPr="00960C29" w:rsidTr="00960C29">
        <w:tc>
          <w:tcPr>
            <w:tcW w:w="4788" w:type="dxa"/>
          </w:tcPr>
          <w:p w:rsidR="00960C29" w:rsidRPr="00960C29" w:rsidRDefault="00960C29" w:rsidP="00960C29">
            <w:pPr>
              <w:jc w:val="center"/>
              <w:rPr>
                <w:b/>
              </w:rPr>
            </w:pPr>
            <w:r w:rsidRPr="00960C29">
              <w:rPr>
                <w:b/>
              </w:rPr>
              <w:t>Organization</w:t>
            </w:r>
          </w:p>
        </w:tc>
        <w:tc>
          <w:tcPr>
            <w:tcW w:w="4788" w:type="dxa"/>
          </w:tcPr>
          <w:p w:rsidR="00960C29" w:rsidRPr="00960C29" w:rsidRDefault="00960C29" w:rsidP="00960C29">
            <w:pPr>
              <w:jc w:val="center"/>
              <w:rPr>
                <w:b/>
              </w:rPr>
            </w:pPr>
            <w:r w:rsidRPr="00960C29">
              <w:rPr>
                <w:b/>
              </w:rPr>
              <w:t>Names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 w:rsidRPr="00CC0B3D">
              <w:t>Touensa</w:t>
            </w:r>
          </w:p>
        </w:tc>
        <w:tc>
          <w:tcPr>
            <w:tcW w:w="4788" w:type="dxa"/>
          </w:tcPr>
          <w:p w:rsidR="00960C29" w:rsidRDefault="00960C29">
            <w:r>
              <w:t>Yezid Skandrani &amp;</w:t>
            </w:r>
            <w:r w:rsidRPr="00CC0B3D">
              <w:t xml:space="preserve"> Hajer Trabelsi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 w:rsidRPr="00CC0B3D">
              <w:t>IFEDA</w:t>
            </w:r>
          </w:p>
        </w:tc>
        <w:tc>
          <w:tcPr>
            <w:tcW w:w="4788" w:type="dxa"/>
          </w:tcPr>
          <w:p w:rsidR="00960C29" w:rsidRDefault="00960C29">
            <w:r w:rsidRPr="00CC0B3D">
              <w:t>Myriam Kefi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>
              <w:t>Institut Tunisien pour la Democratie et le Developpement</w:t>
            </w:r>
          </w:p>
        </w:tc>
        <w:tc>
          <w:tcPr>
            <w:tcW w:w="4788" w:type="dxa"/>
          </w:tcPr>
          <w:p w:rsidR="00960C29" w:rsidRDefault="00960C29">
            <w:r>
              <w:t>Ilyes Zine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>
              <w:t>Association Tunisienne de la Transparence dans l'Energie et les Mines</w:t>
            </w:r>
            <w:r>
              <w:rPr>
                <w:rFonts w:cs="Calibri"/>
                <w:cs/>
              </w:rPr>
              <w:t>‎</w:t>
            </w:r>
            <w:r>
              <w:rPr>
                <w:rtl/>
                <w:cs/>
              </w:rPr>
              <w:t>‏</w:t>
            </w:r>
            <w:r>
              <w:rPr>
                <w:cs/>
              </w:rPr>
              <w:t xml:space="preserve"> </w:t>
            </w:r>
            <w:r>
              <w:rPr>
                <w:rtl/>
                <w:cs/>
              </w:rPr>
              <w:t>(</w:t>
            </w:r>
            <w:r>
              <w:rPr>
                <w:cs/>
              </w:rPr>
              <w:t>ATEM</w:t>
            </w:r>
            <w:r>
              <w:rPr>
                <w:rtl/>
                <w:cs/>
              </w:rPr>
              <w:t>)</w:t>
            </w:r>
          </w:p>
        </w:tc>
        <w:tc>
          <w:tcPr>
            <w:tcW w:w="4788" w:type="dxa"/>
          </w:tcPr>
          <w:p w:rsidR="00960C29" w:rsidRDefault="00960C29">
            <w:r>
              <w:t>Houda Belghaji &amp; Amin Askri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>
              <w:t>Promotion et Appui au Developpment d'Initiatives Locales(PADIL)</w:t>
            </w:r>
          </w:p>
        </w:tc>
        <w:tc>
          <w:tcPr>
            <w:tcW w:w="4788" w:type="dxa"/>
          </w:tcPr>
          <w:p w:rsidR="00960C29" w:rsidRDefault="00960C29">
            <w:r>
              <w:t>Sahim JAAFAR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>
              <w:t>Office for High Commissioner for Human Rights (OHCHR)</w:t>
            </w:r>
          </w:p>
        </w:tc>
        <w:tc>
          <w:tcPr>
            <w:tcW w:w="4788" w:type="dxa"/>
          </w:tcPr>
          <w:p w:rsidR="00960C29" w:rsidRDefault="00960C29">
            <w:r>
              <w:t>Seynabou Diakhite, Hajer Bouyahia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 w:rsidP="00960C29">
            <w:r>
              <w:t>Association Tunisienne des Controleurs Publics (ATCP)</w:t>
            </w:r>
          </w:p>
        </w:tc>
        <w:tc>
          <w:tcPr>
            <w:tcW w:w="4788" w:type="dxa"/>
          </w:tcPr>
          <w:p w:rsidR="00960C29" w:rsidRDefault="00960C29">
            <w:r>
              <w:t>Sharafeddine Yakoubi</w:t>
            </w:r>
          </w:p>
        </w:tc>
      </w:tr>
      <w:tr w:rsidR="003F17BF" w:rsidTr="00960C29">
        <w:tc>
          <w:tcPr>
            <w:tcW w:w="4788" w:type="dxa"/>
          </w:tcPr>
          <w:p w:rsidR="003F17BF" w:rsidRDefault="003F17BF" w:rsidP="00960C29">
            <w:r>
              <w:t>BIC</w:t>
            </w:r>
          </w:p>
        </w:tc>
        <w:tc>
          <w:tcPr>
            <w:tcW w:w="4788" w:type="dxa"/>
          </w:tcPr>
          <w:p w:rsidR="003F17BF" w:rsidRDefault="003F17BF">
            <w:r>
              <w:t>Amy Ekdawi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 w:rsidP="00960C29">
            <w:r>
              <w:t>WB Consultant on Social Protection reform project</w:t>
            </w:r>
          </w:p>
        </w:tc>
        <w:tc>
          <w:tcPr>
            <w:tcW w:w="4788" w:type="dxa"/>
          </w:tcPr>
          <w:p w:rsidR="00960C29" w:rsidRDefault="00960C29">
            <w:r>
              <w:t>Claire Azzabi</w:t>
            </w:r>
          </w:p>
        </w:tc>
      </w:tr>
      <w:tr w:rsidR="00960C29" w:rsidTr="00960C29">
        <w:tc>
          <w:tcPr>
            <w:tcW w:w="4788" w:type="dxa"/>
          </w:tcPr>
          <w:p w:rsidR="00960C29" w:rsidRDefault="00960C29">
            <w:r w:rsidRPr="00960C29">
              <w:t>WB Consultant on Social Protection reform project</w:t>
            </w:r>
          </w:p>
        </w:tc>
        <w:tc>
          <w:tcPr>
            <w:tcW w:w="4788" w:type="dxa"/>
          </w:tcPr>
          <w:p w:rsidR="00960C29" w:rsidRDefault="00960C29">
            <w:r>
              <w:t>Wassim Turki</w:t>
            </w:r>
          </w:p>
        </w:tc>
      </w:tr>
    </w:tbl>
    <w:p w:rsidR="00CC0B3D" w:rsidRDefault="00CC0B3D" w:rsidP="00CC0B3D">
      <w:r>
        <w:tab/>
        <w:t xml:space="preserve"> </w:t>
      </w:r>
    </w:p>
    <w:p w:rsidR="00CC0B3D" w:rsidRDefault="00CC0B3D">
      <w:r>
        <w:t xml:space="preserve">Following the CE presentation and a quick round of </w:t>
      </w:r>
      <w:r w:rsidR="00960C29">
        <w:t xml:space="preserve">Q&amp;A, the participants </w:t>
      </w:r>
      <w:r w:rsidR="00932383">
        <w:t>answered the 5 guiding questions as per below points:</w:t>
      </w:r>
    </w:p>
    <w:p w:rsidR="00932383" w:rsidRPr="00932383" w:rsidRDefault="00932383">
      <w:pPr>
        <w:rPr>
          <w:b/>
        </w:rPr>
      </w:pPr>
      <w:r w:rsidRPr="00932383">
        <w:rPr>
          <w:b/>
        </w:rPr>
        <w:t>Guiding questions</w:t>
      </w:r>
    </w:p>
    <w:p w:rsidR="00932383" w:rsidRPr="00551985" w:rsidRDefault="00932383" w:rsidP="00932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51985">
        <w:rPr>
          <w:rFonts w:cs="Arial"/>
          <w:color w:val="000000"/>
          <w:sz w:val="24"/>
          <w:szCs w:val="24"/>
        </w:rPr>
        <w:t xml:space="preserve">Where have you seen citizen engagement contribute to development outcomes? In which sectors has it worked best? What types of engagement mechanisms were used? </w:t>
      </w:r>
    </w:p>
    <w:p w:rsidR="00932383" w:rsidRPr="00551985" w:rsidRDefault="00932383" w:rsidP="00932383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4"/>
          <w:szCs w:val="24"/>
        </w:rPr>
      </w:pPr>
    </w:p>
    <w:p w:rsidR="00932383" w:rsidRPr="00551985" w:rsidRDefault="00932383" w:rsidP="00932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51985">
        <w:rPr>
          <w:rFonts w:cs="Arial"/>
          <w:color w:val="000000"/>
          <w:sz w:val="24"/>
          <w:szCs w:val="24"/>
        </w:rPr>
        <w:t xml:space="preserve">We found most of the impact evidence of citizen engagement in the following areas: service delivery, social inclusion, anti-corruption, public financial management, natural resource management and decentralization. Do have examples in these areas?  Are the other outcome areas that may be relevant? </w:t>
      </w:r>
    </w:p>
    <w:p w:rsidR="00932383" w:rsidRPr="00551985" w:rsidRDefault="00932383" w:rsidP="00932383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000000"/>
          <w:sz w:val="24"/>
          <w:szCs w:val="24"/>
        </w:rPr>
      </w:pPr>
    </w:p>
    <w:p w:rsidR="00932383" w:rsidRPr="00551985" w:rsidRDefault="00932383" w:rsidP="00932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4"/>
          <w:szCs w:val="24"/>
        </w:rPr>
      </w:pPr>
      <w:r w:rsidRPr="00551985">
        <w:rPr>
          <w:rFonts w:cs="Helv"/>
          <w:color w:val="000000"/>
          <w:sz w:val="24"/>
          <w:szCs w:val="24"/>
        </w:rPr>
        <w:t xml:space="preserve">In your experience, what contextual factors—such as government and civil society/citizen capacity and willingness to engage, political economy factors, information provision and global dimensions—are critical to make Citizen Engagement efforts work effectively to enhance results? </w:t>
      </w:r>
    </w:p>
    <w:p w:rsidR="00932383" w:rsidRPr="00551985" w:rsidRDefault="00932383" w:rsidP="00932383">
      <w:pPr>
        <w:autoSpaceDE w:val="0"/>
        <w:autoSpaceDN w:val="0"/>
        <w:adjustRightInd w:val="0"/>
        <w:spacing w:after="0" w:line="240" w:lineRule="auto"/>
        <w:ind w:left="360"/>
        <w:rPr>
          <w:rFonts w:cs="Helv"/>
          <w:color w:val="000000"/>
          <w:sz w:val="24"/>
          <w:szCs w:val="24"/>
        </w:rPr>
      </w:pPr>
    </w:p>
    <w:p w:rsidR="00932383" w:rsidRDefault="00932383" w:rsidP="00932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4"/>
          <w:szCs w:val="24"/>
        </w:rPr>
      </w:pPr>
      <w:r w:rsidRPr="00551985">
        <w:rPr>
          <w:rFonts w:cs="Helv"/>
          <w:color w:val="000000"/>
          <w:sz w:val="24"/>
          <w:szCs w:val="24"/>
        </w:rPr>
        <w:t xml:space="preserve">Which contextual factors in fragile and conflict-affected states have helped to promote or create obstacles for effective citizen engagement? Are such factors different for citizen engagement activities being undertaken in non-conflict situations? </w:t>
      </w:r>
    </w:p>
    <w:p w:rsidR="00932383" w:rsidRPr="00551985" w:rsidRDefault="00932383" w:rsidP="00932383">
      <w:pPr>
        <w:pStyle w:val="ListParagraph"/>
        <w:rPr>
          <w:rFonts w:cs="Arial"/>
          <w:color w:val="000000"/>
          <w:sz w:val="24"/>
          <w:szCs w:val="24"/>
        </w:rPr>
      </w:pPr>
    </w:p>
    <w:p w:rsidR="00932383" w:rsidRPr="00551985" w:rsidRDefault="00932383" w:rsidP="009323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4"/>
          <w:szCs w:val="24"/>
        </w:rPr>
      </w:pPr>
      <w:r w:rsidRPr="00551985">
        <w:rPr>
          <w:rFonts w:cs="Arial"/>
          <w:color w:val="000000"/>
          <w:sz w:val="24"/>
          <w:szCs w:val="24"/>
        </w:rPr>
        <w:t>Where do you see gaps in what we know about the contribution of citizen engagement to development outcomes that could inform the future research agenda?</w:t>
      </w:r>
    </w:p>
    <w:p w:rsidR="00932383" w:rsidRDefault="00932383"/>
    <w:p w:rsidR="00932383" w:rsidRDefault="00932383"/>
    <w:p w:rsidR="00932383" w:rsidRPr="00932383" w:rsidRDefault="00932383">
      <w:pPr>
        <w:rPr>
          <w:b/>
        </w:rPr>
      </w:pPr>
      <w:r w:rsidRPr="00932383">
        <w:rPr>
          <w:b/>
        </w:rPr>
        <w:t>Feedback</w:t>
      </w:r>
    </w:p>
    <w:p w:rsidR="00932383" w:rsidRDefault="008C7E96" w:rsidP="00932383">
      <w:pPr>
        <w:pStyle w:val="ListParagraph"/>
        <w:numPr>
          <w:ilvl w:val="0"/>
          <w:numId w:val="2"/>
        </w:numPr>
      </w:pPr>
      <w:r>
        <w:t>CE should be integrated at the conception of the project and not just its implementation or evaluation</w:t>
      </w:r>
    </w:p>
    <w:p w:rsidR="008C7E96" w:rsidRDefault="008C7E96" w:rsidP="00932383">
      <w:pPr>
        <w:pStyle w:val="ListParagraph"/>
        <w:numPr>
          <w:ilvl w:val="0"/>
          <w:numId w:val="2"/>
        </w:numPr>
      </w:pPr>
      <w:r>
        <w:t xml:space="preserve">IS CE going to be integrated in WB safeguards procedures and How </w:t>
      </w:r>
    </w:p>
    <w:p w:rsidR="008C7E96" w:rsidRDefault="008C7E96" w:rsidP="00932383">
      <w:pPr>
        <w:pStyle w:val="ListParagraph"/>
        <w:numPr>
          <w:ilvl w:val="0"/>
          <w:numId w:val="2"/>
        </w:numPr>
      </w:pPr>
      <w:r>
        <w:t>CE should not be related to sole sectors mentioned in question 2, but should be cross cutting (ex: human rights, infrastructure, mining, energy…)</w:t>
      </w:r>
    </w:p>
    <w:p w:rsidR="008C7E96" w:rsidRDefault="008C7E96" w:rsidP="00932383">
      <w:pPr>
        <w:pStyle w:val="ListParagraph"/>
        <w:numPr>
          <w:ilvl w:val="0"/>
          <w:numId w:val="2"/>
        </w:numPr>
      </w:pPr>
      <w:r>
        <w:t>In reference to mines and energy matter there is an international norm integrating CE which the 2</w:t>
      </w:r>
      <w:r w:rsidRPr="008C7E96">
        <w:rPr>
          <w:vertAlign w:val="superscript"/>
        </w:rPr>
        <w:t>nd</w:t>
      </w:r>
      <w:r>
        <w:t xml:space="preserve"> Tunisian government (post revolution) promised to sign but did not. The government that came after did not follow up</w:t>
      </w:r>
    </w:p>
    <w:p w:rsidR="008C7E96" w:rsidRDefault="008C7E96" w:rsidP="00932383">
      <w:pPr>
        <w:pStyle w:val="ListParagraph"/>
        <w:numPr>
          <w:ilvl w:val="0"/>
          <w:numId w:val="2"/>
        </w:numPr>
      </w:pPr>
      <w:r>
        <w:t xml:space="preserve">Decentralization is an essential factor in CE and necessitates capacity building of stakeholders and local actors who will in turn network locally </w:t>
      </w:r>
    </w:p>
    <w:p w:rsidR="008569C2" w:rsidRDefault="008569C2" w:rsidP="00932383">
      <w:pPr>
        <w:pStyle w:val="ListParagraph"/>
        <w:numPr>
          <w:ilvl w:val="0"/>
          <w:numId w:val="2"/>
        </w:numPr>
      </w:pPr>
      <w:r>
        <w:t>What empowerment/support will be provided to the regional committees for CE? What budget? And how will they work with local CSOs. There should be a law to ensure/certify the process.</w:t>
      </w:r>
    </w:p>
    <w:p w:rsidR="00E205D0" w:rsidRDefault="008C7E96" w:rsidP="00E205D0">
      <w:pPr>
        <w:pStyle w:val="ListParagraph"/>
        <w:numPr>
          <w:ilvl w:val="0"/>
          <w:numId w:val="2"/>
        </w:numPr>
      </w:pPr>
      <w:r>
        <w:t xml:space="preserve">The problem of the transition period is that </w:t>
      </w:r>
      <w:r w:rsidR="00E205D0">
        <w:t>on the one hand indeed CSO need to take advantage and be proactive, however difficult to build trust with a transition government. Things are initiated, but not followed up upon and there is a lack of results. Therefore, no evaluation is possible.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>Notion of Corporate Social Responsibility: Need to make the public and private sector accountable by working with them in partnership and not be in a “counter” position systematically: work with public sector, make private sector accountable and have an impact on social peace.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>CSOs need to be more in tune and representative of local populations – they need to “step out” of urban areas and work the field.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>Most of CSOs are recent and “young”, there is good will, however lack in experience and know-how, even just in expressing their needs correctly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>Laws are put in place, however not always applied – ex: law on Access to Information. Website exists and people ask questions, however there are barely any answers provided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>What support is the WB providing for citizen capacity building to ensure CE?</w:t>
      </w:r>
    </w:p>
    <w:p w:rsidR="00E205D0" w:rsidRDefault="00E205D0" w:rsidP="00932383">
      <w:pPr>
        <w:pStyle w:val="ListParagraph"/>
        <w:numPr>
          <w:ilvl w:val="0"/>
          <w:numId w:val="2"/>
        </w:numPr>
      </w:pPr>
      <w:r>
        <w:t xml:space="preserve">CE is automatically integrated in projects in rural areas because local populations are directly involved, however different in urban areas. Ex: project on education reform – may be some consultations but main components to the project happen between the administration and the donor, therefore there should be systematic </w:t>
      </w:r>
      <w:r w:rsidR="008569C2">
        <w:t xml:space="preserve">polls for </w:t>
      </w:r>
      <w:r>
        <w:t>beneficiar</w:t>
      </w:r>
      <w:r w:rsidR="008569C2">
        <w:t>ies</w:t>
      </w:r>
      <w:r>
        <w:t xml:space="preserve"> and </w:t>
      </w:r>
      <w:r w:rsidR="008569C2">
        <w:t>people impacted by the project.</w:t>
      </w:r>
    </w:p>
    <w:p w:rsidR="008569C2" w:rsidRDefault="008569C2" w:rsidP="00932383">
      <w:pPr>
        <w:pStyle w:val="ListParagraph"/>
        <w:numPr>
          <w:ilvl w:val="0"/>
          <w:numId w:val="2"/>
        </w:numPr>
      </w:pPr>
      <w:r>
        <w:t>When talk of CE, who will represent the projects at a national level? Easier when a local/regional project because local and regional CSOs directly identified. However at a national level how will CE be represented.</w:t>
      </w:r>
    </w:p>
    <w:p w:rsidR="008569C2" w:rsidRDefault="008569C2" w:rsidP="008569C2">
      <w:pPr>
        <w:pStyle w:val="ListParagraph"/>
        <w:numPr>
          <w:ilvl w:val="0"/>
          <w:numId w:val="2"/>
        </w:numPr>
      </w:pPr>
      <w:r>
        <w:lastRenderedPageBreak/>
        <w:t>The WB in Tunis implemented the “Suivi Evaluation Participative” through its</w:t>
      </w:r>
      <w:r w:rsidR="00ED762D">
        <w:t xml:space="preserve"> projects</w:t>
      </w:r>
      <w:r w:rsidR="00C27C72">
        <w:rPr>
          <w:rStyle w:val="FootnoteReference"/>
        </w:rPr>
        <w:footnoteReference w:id="1"/>
      </w:r>
      <w:r>
        <w:t xml:space="preserve"> </w:t>
      </w:r>
      <w:r w:rsidR="00591F9E">
        <w:t>(TTL Heba El Gazzar) to ensure CE and feedback</w:t>
      </w:r>
      <w:r>
        <w:t xml:space="preserve">. An official note was sent out to </w:t>
      </w:r>
      <w:r w:rsidR="00591F9E">
        <w:t xml:space="preserve">the </w:t>
      </w:r>
      <w:r>
        <w:t>4 ministries</w:t>
      </w:r>
      <w:r w:rsidR="00ED762D">
        <w:t xml:space="preserve"> covering</w:t>
      </w:r>
      <w:r w:rsidR="00591F9E">
        <w:t xml:space="preserve">: </w:t>
      </w:r>
      <w:r>
        <w:t xml:space="preserve">Employment, Health, </w:t>
      </w:r>
      <w:r w:rsidR="00591F9E">
        <w:t>Social Services and Education. Need to build on this note and make it a cross cutting practice through the ministries by transforming it into a decree or law.</w:t>
      </w:r>
    </w:p>
    <w:p w:rsidR="00A024B5" w:rsidRDefault="00A024B5" w:rsidP="008569C2">
      <w:pPr>
        <w:pStyle w:val="ListParagraph"/>
        <w:numPr>
          <w:ilvl w:val="0"/>
          <w:numId w:val="2"/>
        </w:numPr>
      </w:pPr>
      <w:r>
        <w:t>Need to ensure the mapping of the CSOs involved in CE in the regions for knowledge transfer and bridge gaps.</w:t>
      </w:r>
    </w:p>
    <w:p w:rsidR="00E205D0" w:rsidRDefault="00E205D0" w:rsidP="00E205D0">
      <w:pPr>
        <w:ind w:left="360"/>
      </w:pPr>
    </w:p>
    <w:sectPr w:rsidR="00E205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51" w:rsidRDefault="00E75E51" w:rsidP="00CC0B3D">
      <w:pPr>
        <w:spacing w:after="0" w:line="240" w:lineRule="auto"/>
      </w:pPr>
      <w:r>
        <w:separator/>
      </w:r>
    </w:p>
  </w:endnote>
  <w:endnote w:type="continuationSeparator" w:id="0">
    <w:p w:rsidR="00E75E51" w:rsidRDefault="00E75E51" w:rsidP="00CC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78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7C0" w:rsidRDefault="00CA17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2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17C0" w:rsidRDefault="00CA1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51" w:rsidRDefault="00E75E51" w:rsidP="00CC0B3D">
      <w:pPr>
        <w:spacing w:after="0" w:line="240" w:lineRule="auto"/>
      </w:pPr>
      <w:r>
        <w:separator/>
      </w:r>
    </w:p>
  </w:footnote>
  <w:footnote w:type="continuationSeparator" w:id="0">
    <w:p w:rsidR="00E75E51" w:rsidRDefault="00E75E51" w:rsidP="00CC0B3D">
      <w:pPr>
        <w:spacing w:after="0" w:line="240" w:lineRule="auto"/>
      </w:pPr>
      <w:r>
        <w:continuationSeparator/>
      </w:r>
    </w:p>
  </w:footnote>
  <w:footnote w:id="1">
    <w:p w:rsidR="00C27C72" w:rsidRDefault="00C27C72" w:rsidP="00C27C72">
      <w:pPr>
        <w:pStyle w:val="Footer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D762D">
          <w:rPr>
            <w:rStyle w:val="Hyperlink"/>
          </w:rPr>
          <w:t>Participatory Service Delivery for Reintegration Project</w:t>
        </w:r>
      </w:hyperlink>
    </w:p>
    <w:p w:rsidR="00C27C72" w:rsidRDefault="00E75E51" w:rsidP="00C27C72">
      <w:pPr>
        <w:pStyle w:val="Footer"/>
      </w:pPr>
      <w:hyperlink r:id="rId2" w:history="1">
        <w:r w:rsidR="00C27C72" w:rsidRPr="00ED762D">
          <w:rPr>
            <w:rStyle w:val="Hyperlink"/>
          </w:rPr>
          <w:t>Community Health Collaborative JSDF</w:t>
        </w:r>
      </w:hyperlink>
    </w:p>
    <w:p w:rsidR="00C27C72" w:rsidRDefault="00E75E51" w:rsidP="00C27C72">
      <w:pPr>
        <w:pStyle w:val="Footer"/>
      </w:pPr>
      <w:hyperlink r:id="rId3" w:history="1">
        <w:r w:rsidR="00C27C72" w:rsidRPr="00ED762D">
          <w:rPr>
            <w:rStyle w:val="Hyperlink"/>
          </w:rPr>
          <w:t>Participatory Service Delivery for Reintegration Project</w:t>
        </w:r>
      </w:hyperlink>
    </w:p>
    <w:p w:rsidR="00C27C72" w:rsidRDefault="00C27C7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3D" w:rsidRPr="00CC0B3D" w:rsidRDefault="00CC0B3D" w:rsidP="00CC0B3D">
    <w:pPr>
      <w:pStyle w:val="Header"/>
      <w:jc w:val="center"/>
      <w:rPr>
        <w:b/>
        <w:sz w:val="24"/>
        <w:szCs w:val="24"/>
      </w:rPr>
    </w:pPr>
    <w:r w:rsidRPr="00CC0B3D">
      <w:rPr>
        <w:b/>
        <w:sz w:val="24"/>
        <w:szCs w:val="24"/>
      </w:rPr>
      <w:t>Citizen Engagement Dialogue – Tunisia</w:t>
    </w:r>
  </w:p>
  <w:p w:rsidR="00CC0B3D" w:rsidRPr="00CC0B3D" w:rsidRDefault="00CC0B3D" w:rsidP="00CC0B3D">
    <w:pPr>
      <w:pStyle w:val="Header"/>
      <w:jc w:val="center"/>
      <w:rPr>
        <w:b/>
        <w:sz w:val="24"/>
        <w:szCs w:val="24"/>
      </w:rPr>
    </w:pPr>
    <w:r w:rsidRPr="00CC0B3D">
      <w:rPr>
        <w:b/>
        <w:sz w:val="24"/>
        <w:szCs w:val="24"/>
      </w:rPr>
      <w:t>Recap of May 12</w:t>
    </w:r>
    <w:r w:rsidRPr="00CC0B3D">
      <w:rPr>
        <w:b/>
        <w:sz w:val="24"/>
        <w:szCs w:val="24"/>
        <w:vertAlign w:val="superscript"/>
      </w:rPr>
      <w:t>th</w:t>
    </w:r>
    <w:r w:rsidRPr="00CC0B3D">
      <w:rPr>
        <w:b/>
        <w:sz w:val="24"/>
        <w:szCs w:val="24"/>
      </w:rPr>
      <w:t xml:space="preserve"> meeting with CSO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522"/>
    <w:multiLevelType w:val="hybridMultilevel"/>
    <w:tmpl w:val="A542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7AC"/>
    <w:multiLevelType w:val="hybridMultilevel"/>
    <w:tmpl w:val="F92802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3D"/>
    <w:rsid w:val="002E53DF"/>
    <w:rsid w:val="0037315E"/>
    <w:rsid w:val="003B25DD"/>
    <w:rsid w:val="003F17BF"/>
    <w:rsid w:val="004A7959"/>
    <w:rsid w:val="00591F9E"/>
    <w:rsid w:val="00593422"/>
    <w:rsid w:val="006B7057"/>
    <w:rsid w:val="008306D9"/>
    <w:rsid w:val="008569C2"/>
    <w:rsid w:val="008C7E96"/>
    <w:rsid w:val="008D204B"/>
    <w:rsid w:val="00932383"/>
    <w:rsid w:val="00942856"/>
    <w:rsid w:val="00960C29"/>
    <w:rsid w:val="0097317C"/>
    <w:rsid w:val="00981204"/>
    <w:rsid w:val="009C1861"/>
    <w:rsid w:val="00A024B5"/>
    <w:rsid w:val="00AA2DAF"/>
    <w:rsid w:val="00B54E13"/>
    <w:rsid w:val="00B91169"/>
    <w:rsid w:val="00BC7086"/>
    <w:rsid w:val="00BE3346"/>
    <w:rsid w:val="00C07088"/>
    <w:rsid w:val="00C27C72"/>
    <w:rsid w:val="00C44E9B"/>
    <w:rsid w:val="00CA17C0"/>
    <w:rsid w:val="00CC0B3D"/>
    <w:rsid w:val="00D4720D"/>
    <w:rsid w:val="00E12646"/>
    <w:rsid w:val="00E205D0"/>
    <w:rsid w:val="00E703A7"/>
    <w:rsid w:val="00E75E51"/>
    <w:rsid w:val="00EB1EE5"/>
    <w:rsid w:val="00ED762D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3D"/>
  </w:style>
  <w:style w:type="paragraph" w:styleId="Footer">
    <w:name w:val="footer"/>
    <w:basedOn w:val="Normal"/>
    <w:link w:val="FooterChar"/>
    <w:uiPriority w:val="99"/>
    <w:unhideWhenUsed/>
    <w:rsid w:val="00CC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3D"/>
  </w:style>
  <w:style w:type="table" w:styleId="TableGrid">
    <w:name w:val="Table Grid"/>
    <w:basedOn w:val="TableNormal"/>
    <w:uiPriority w:val="59"/>
    <w:rsid w:val="009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38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762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B3D"/>
  </w:style>
  <w:style w:type="paragraph" w:styleId="Footer">
    <w:name w:val="footer"/>
    <w:basedOn w:val="Normal"/>
    <w:link w:val="FooterChar"/>
    <w:uiPriority w:val="99"/>
    <w:unhideWhenUsed/>
    <w:rsid w:val="00CC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B3D"/>
  </w:style>
  <w:style w:type="table" w:styleId="TableGrid">
    <w:name w:val="Table Grid"/>
    <w:basedOn w:val="TableNormal"/>
    <w:uiPriority w:val="59"/>
    <w:rsid w:val="009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38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D762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C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cuments.worldbank.org/curated/en/2011/08/14808222/tunisia-participatory-service-delivery-reintegration-tunisia-participatory-service-delivery-reintegration-project" TargetMode="External"/><Relationship Id="rId2" Type="http://schemas.openxmlformats.org/officeDocument/2006/relationships/hyperlink" Target="http://www.worldbank.org/projects/P125657/community-health-collaborative-jsdf?lang=en" TargetMode="External"/><Relationship Id="rId1" Type="http://schemas.openxmlformats.org/officeDocument/2006/relationships/hyperlink" Target="http://documents.worldbank.org/curated/en/2011/08/14808222/tunisia-participatory-service-delivery-reintegration-tunisia-participatory-service-delivery-reintegration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0FBA-E276-4D91-845A-FBB3C896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Donia Jemail</dc:creator>
  <cp:lastModifiedBy>angelina jarrouj</cp:lastModifiedBy>
  <cp:revision>2</cp:revision>
  <dcterms:created xsi:type="dcterms:W3CDTF">2014-05-27T17:08:00Z</dcterms:created>
  <dcterms:modified xsi:type="dcterms:W3CDTF">2014-05-27T17:08:00Z</dcterms:modified>
</cp:coreProperties>
</file>