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F9" w:rsidRPr="0062757F" w:rsidRDefault="004526F9" w:rsidP="004526F9">
      <w:pPr>
        <w:pStyle w:val="Heading1"/>
        <w:spacing w:before="0" w:line="240" w:lineRule="auto"/>
        <w:ind w:firstLine="720"/>
        <w:jc w:val="center"/>
        <w:rPr>
          <w:rFonts w:ascii="Times New Roman" w:hAnsi="Times New Roman" w:cs="Times New Roman"/>
        </w:rPr>
      </w:pPr>
      <w:bookmarkStart w:id="0" w:name="_Toc292977969"/>
      <w:bookmarkStart w:id="1" w:name="_GoBack"/>
      <w:bookmarkEnd w:id="1"/>
      <w:r w:rsidRPr="0062757F">
        <w:rPr>
          <w:rFonts w:ascii="Times New Roman" w:hAnsi="Times New Roman" w:cs="Times New Roman"/>
        </w:rPr>
        <w:t>Executive Summary</w:t>
      </w:r>
      <w:bookmarkEnd w:id="0"/>
    </w:p>
    <w:p w:rsidR="004526F9" w:rsidRDefault="004526F9" w:rsidP="004526F9">
      <w:pPr>
        <w:ind w:firstLine="720"/>
        <w:rPr>
          <w:rFonts w:ascii="Times New Roman" w:hAnsi="Times New Roman" w:cs="Times New Roman"/>
        </w:rPr>
      </w:pPr>
    </w:p>
    <w:p w:rsidR="004526F9" w:rsidRDefault="004526F9" w:rsidP="009B3880">
      <w:pPr>
        <w:pStyle w:val="Heading1"/>
        <w:numPr>
          <w:ilvl w:val="0"/>
          <w:numId w:val="6"/>
        </w:numPr>
      </w:pPr>
      <w:bookmarkStart w:id="2" w:name="_Toc292977970"/>
      <w:r>
        <w:t>Context</w:t>
      </w:r>
      <w:bookmarkEnd w:id="2"/>
      <w:r>
        <w:t xml:space="preserve"> </w:t>
      </w:r>
    </w:p>
    <w:p w:rsidR="004526F9" w:rsidRPr="009D2BC6" w:rsidRDefault="004526F9" w:rsidP="004526F9"/>
    <w:p w:rsidR="004526F9" w:rsidRPr="007B00A5" w:rsidRDefault="004526F9" w:rsidP="004526F9">
      <w:pPr>
        <w:pStyle w:val="ListParagraph"/>
        <w:numPr>
          <w:ilvl w:val="0"/>
          <w:numId w:val="1"/>
        </w:numPr>
        <w:spacing w:after="0" w:line="240" w:lineRule="auto"/>
        <w:ind w:left="0" w:firstLine="720"/>
        <w:jc w:val="both"/>
        <w:rPr>
          <w:rFonts w:ascii="Times New Roman" w:hAnsi="Times New Roman" w:cs="Times New Roman"/>
        </w:rPr>
      </w:pPr>
      <w:r w:rsidRPr="007B00A5">
        <w:rPr>
          <w:rFonts w:ascii="Times New Roman" w:hAnsi="Times New Roman" w:cs="Times New Roman"/>
          <w:b/>
        </w:rPr>
        <w:t>Tunisia</w:t>
      </w:r>
      <w:r>
        <w:rPr>
          <w:rFonts w:ascii="Times New Roman" w:hAnsi="Times New Roman" w:cs="Times New Roman"/>
          <w:b/>
        </w:rPr>
        <w:t xml:space="preserve"> was often </w:t>
      </w:r>
      <w:r w:rsidRPr="007B00A5">
        <w:rPr>
          <w:rFonts w:ascii="Times New Roman" w:hAnsi="Times New Roman" w:cs="Times New Roman"/>
          <w:b/>
        </w:rPr>
        <w:t xml:space="preserve">recognized </w:t>
      </w:r>
      <w:r>
        <w:rPr>
          <w:rFonts w:ascii="Times New Roman" w:hAnsi="Times New Roman" w:cs="Times New Roman"/>
          <w:b/>
        </w:rPr>
        <w:t xml:space="preserve">in the period preceding the 2011 revolution </w:t>
      </w:r>
      <w:r w:rsidRPr="007B00A5">
        <w:rPr>
          <w:rFonts w:ascii="Times New Roman" w:hAnsi="Times New Roman" w:cs="Times New Roman"/>
          <w:b/>
        </w:rPr>
        <w:t>as one of the leading performers in the MENA region in terms of economic and human development outcomes.</w:t>
      </w:r>
      <w:r>
        <w:rPr>
          <w:rFonts w:ascii="Times New Roman" w:hAnsi="Times New Roman" w:cs="Times New Roman"/>
          <w:b/>
        </w:rPr>
        <w:t xml:space="preserve"> </w:t>
      </w:r>
      <w:r w:rsidRPr="007B00A5">
        <w:rPr>
          <w:rFonts w:ascii="Times New Roman" w:hAnsi="Times New Roman" w:cs="Times New Roman"/>
        </w:rPr>
        <w:t xml:space="preserve">One of the first countries in the region to embark on early structural reforms that contributed to the successful economic performance </w:t>
      </w:r>
      <w:r>
        <w:rPr>
          <w:rFonts w:ascii="Times New Roman" w:hAnsi="Times New Roman" w:cs="Times New Roman"/>
        </w:rPr>
        <w:t>since mid-1990s</w:t>
      </w:r>
      <w:r w:rsidRPr="007B00A5">
        <w:rPr>
          <w:rFonts w:ascii="Times New Roman" w:hAnsi="Times New Roman" w:cs="Times New Roman"/>
        </w:rPr>
        <w:t xml:space="preserve">, Tunisia saw in parallel significant progress in social and human development indicators. In the </w:t>
      </w:r>
      <w:r>
        <w:rPr>
          <w:rFonts w:ascii="Times New Roman" w:hAnsi="Times New Roman" w:cs="Times New Roman"/>
        </w:rPr>
        <w:t xml:space="preserve">two </w:t>
      </w:r>
      <w:r w:rsidRPr="007B00A5">
        <w:rPr>
          <w:rFonts w:ascii="Times New Roman" w:hAnsi="Times New Roman" w:cs="Times New Roman"/>
        </w:rPr>
        <w:t>decade</w:t>
      </w:r>
      <w:r>
        <w:rPr>
          <w:rFonts w:ascii="Times New Roman" w:hAnsi="Times New Roman" w:cs="Times New Roman"/>
        </w:rPr>
        <w:t>s prior to 2011</w:t>
      </w:r>
      <w:r w:rsidRPr="007B00A5">
        <w:rPr>
          <w:rFonts w:ascii="Times New Roman" w:hAnsi="Times New Roman" w:cs="Times New Roman"/>
        </w:rPr>
        <w:t>, the count</w:t>
      </w:r>
      <w:r>
        <w:rPr>
          <w:rFonts w:ascii="Times New Roman" w:hAnsi="Times New Roman" w:cs="Times New Roman"/>
        </w:rPr>
        <w:t>ry benefitted from growth rates</w:t>
      </w:r>
      <w:r>
        <w:rPr>
          <w:rStyle w:val="FootnoteReference"/>
          <w:rFonts w:ascii="Times New Roman" w:hAnsi="Times New Roman" w:cs="Times New Roman"/>
        </w:rPr>
        <w:footnoteReference w:id="1"/>
      </w:r>
      <w:r>
        <w:rPr>
          <w:rFonts w:ascii="Times New Roman" w:hAnsi="Times New Roman" w:cs="Times New Roman"/>
        </w:rPr>
        <w:t xml:space="preserve"> </w:t>
      </w:r>
      <w:r w:rsidRPr="007B00A5">
        <w:rPr>
          <w:rFonts w:ascii="Times New Roman" w:hAnsi="Times New Roman" w:cs="Times New Roman"/>
        </w:rPr>
        <w:t>above the regional average, sustained progress in access to primary education</w:t>
      </w:r>
      <w:r>
        <w:rPr>
          <w:rFonts w:ascii="Times New Roman" w:hAnsi="Times New Roman" w:cs="Times New Roman"/>
        </w:rPr>
        <w:t xml:space="preserve"> (today almost universal)</w:t>
      </w:r>
      <w:r w:rsidRPr="007B00A5">
        <w:rPr>
          <w:rFonts w:ascii="Times New Roman" w:hAnsi="Times New Roman" w:cs="Times New Roman"/>
        </w:rPr>
        <w:t xml:space="preserve"> and health care, and a tremendous reduction in overall poverty incidence, which was halved in the decade between 2000 and 2010</w:t>
      </w:r>
      <w:r>
        <w:rPr>
          <w:rFonts w:ascii="Times New Roman" w:hAnsi="Times New Roman" w:cs="Times New Roman"/>
        </w:rPr>
        <w:t>.</w:t>
      </w:r>
      <w:r>
        <w:rPr>
          <w:rStyle w:val="FootnoteReference"/>
          <w:rFonts w:ascii="Times New Roman" w:hAnsi="Times New Roman" w:cs="Times New Roman"/>
        </w:rPr>
        <w:footnoteReference w:id="2"/>
      </w:r>
      <w:r w:rsidRPr="007B00A5">
        <w:rPr>
          <w:rFonts w:ascii="Times New Roman" w:hAnsi="Times New Roman" w:cs="Times New Roman"/>
        </w:rPr>
        <w:t xml:space="preserve"> As of today, Tunisia remains one of the most</w:t>
      </w:r>
      <w:r>
        <w:rPr>
          <w:rFonts w:ascii="Times New Roman" w:hAnsi="Times New Roman" w:cs="Times New Roman"/>
        </w:rPr>
        <w:t xml:space="preserve"> progressive </w:t>
      </w:r>
      <w:r w:rsidRPr="007B00A5">
        <w:rPr>
          <w:rFonts w:ascii="Times New Roman" w:hAnsi="Times New Roman" w:cs="Times New Roman"/>
        </w:rPr>
        <w:t xml:space="preserve">countries in MENA in terms of women rights and female emancipation. </w:t>
      </w:r>
    </w:p>
    <w:p w:rsidR="004526F9" w:rsidRPr="00052EEA" w:rsidRDefault="004526F9" w:rsidP="004526F9">
      <w:pPr>
        <w:spacing w:after="0" w:line="240" w:lineRule="auto"/>
        <w:ind w:firstLine="720"/>
        <w:jc w:val="both"/>
        <w:rPr>
          <w:rFonts w:ascii="Times New Roman" w:hAnsi="Times New Roman" w:cs="Times New Roman"/>
        </w:rPr>
      </w:pPr>
    </w:p>
    <w:p w:rsidR="004526F9" w:rsidRPr="007B00A5" w:rsidRDefault="004526F9" w:rsidP="004526F9">
      <w:pPr>
        <w:pStyle w:val="ListParagraph"/>
        <w:numPr>
          <w:ilvl w:val="0"/>
          <w:numId w:val="1"/>
        </w:numPr>
        <w:spacing w:after="0" w:line="240" w:lineRule="auto"/>
        <w:ind w:left="0" w:firstLine="720"/>
        <w:jc w:val="both"/>
        <w:rPr>
          <w:rFonts w:ascii="Times New Roman" w:hAnsi="Times New Roman" w:cs="Times New Roman"/>
        </w:rPr>
      </w:pPr>
      <w:r w:rsidRPr="007B00A5">
        <w:rPr>
          <w:rFonts w:ascii="Times New Roman" w:hAnsi="Times New Roman" w:cs="Times New Roman"/>
          <w:b/>
        </w:rPr>
        <w:t xml:space="preserve">Despite </w:t>
      </w:r>
      <w:r>
        <w:rPr>
          <w:rFonts w:ascii="Times New Roman" w:hAnsi="Times New Roman" w:cs="Times New Roman"/>
          <w:b/>
        </w:rPr>
        <w:t xml:space="preserve">notable </w:t>
      </w:r>
      <w:r w:rsidRPr="007B00A5">
        <w:rPr>
          <w:rFonts w:ascii="Times New Roman" w:hAnsi="Times New Roman" w:cs="Times New Roman"/>
          <w:b/>
        </w:rPr>
        <w:t>achievements</w:t>
      </w:r>
      <w:r>
        <w:rPr>
          <w:rFonts w:ascii="Times New Roman" w:hAnsi="Times New Roman" w:cs="Times New Roman"/>
          <w:b/>
        </w:rPr>
        <w:t xml:space="preserve"> and progress</w:t>
      </w:r>
      <w:r w:rsidRPr="007B00A5">
        <w:rPr>
          <w:rFonts w:ascii="Times New Roman" w:hAnsi="Times New Roman" w:cs="Times New Roman"/>
          <w:b/>
        </w:rPr>
        <w:t>, Tunisia</w:t>
      </w:r>
      <w:r>
        <w:rPr>
          <w:rFonts w:ascii="Times New Roman" w:hAnsi="Times New Roman" w:cs="Times New Roman"/>
          <w:b/>
        </w:rPr>
        <w:t>’s pre-revolutionary development</w:t>
      </w:r>
      <w:r w:rsidRPr="007B00A5">
        <w:rPr>
          <w:rFonts w:ascii="Times New Roman" w:hAnsi="Times New Roman" w:cs="Times New Roman"/>
          <w:b/>
        </w:rPr>
        <w:t xml:space="preserve"> model failed to generate inclusive growth</w:t>
      </w:r>
      <w:r>
        <w:rPr>
          <w:rFonts w:ascii="Times New Roman" w:hAnsi="Times New Roman" w:cs="Times New Roman"/>
          <w:b/>
        </w:rPr>
        <w:t xml:space="preserve"> </w:t>
      </w:r>
      <w:r w:rsidRPr="007B00A5">
        <w:rPr>
          <w:rFonts w:ascii="Times New Roman" w:hAnsi="Times New Roman" w:cs="Times New Roman"/>
          <w:b/>
        </w:rPr>
        <w:t xml:space="preserve">in its most comprehensive sense. </w:t>
      </w:r>
      <w:r>
        <w:rPr>
          <w:rFonts w:ascii="Times New Roman" w:hAnsi="Times New Roman" w:cs="Times New Roman"/>
          <w:b/>
        </w:rPr>
        <w:t xml:space="preserve">A deterioration of economic governance and pervasive elite capture during the decade preceding the revolution </w:t>
      </w:r>
      <w:r w:rsidRPr="007B00A5">
        <w:rPr>
          <w:rFonts w:ascii="Times New Roman" w:hAnsi="Times New Roman" w:cs="Times New Roman"/>
          <w:b/>
        </w:rPr>
        <w:t>undermined the country’s social progress</w:t>
      </w:r>
      <w:r>
        <w:rPr>
          <w:rFonts w:ascii="Times New Roman" w:hAnsi="Times New Roman" w:cs="Times New Roman"/>
          <w:b/>
        </w:rPr>
        <w:t xml:space="preserve">, </w:t>
      </w:r>
      <w:r w:rsidRPr="007B00A5">
        <w:rPr>
          <w:rFonts w:ascii="Times New Roman" w:hAnsi="Times New Roman" w:cs="Times New Roman"/>
          <w:b/>
        </w:rPr>
        <w:t>hindered further economic development</w:t>
      </w:r>
      <w:r>
        <w:rPr>
          <w:rFonts w:ascii="Times New Roman" w:hAnsi="Times New Roman" w:cs="Times New Roman"/>
          <w:b/>
        </w:rPr>
        <w:t xml:space="preserve"> and ultimately fed the social discontent that culminated in the 2011 fall of the regime</w:t>
      </w:r>
      <w:r w:rsidRPr="007B00A5">
        <w:rPr>
          <w:rFonts w:ascii="Times New Roman" w:hAnsi="Times New Roman" w:cs="Times New Roman"/>
          <w:b/>
        </w:rPr>
        <w:t xml:space="preserve">. </w:t>
      </w:r>
      <w:r w:rsidRPr="007B00A5">
        <w:rPr>
          <w:rFonts w:ascii="Times New Roman" w:hAnsi="Times New Roman" w:cs="Times New Roman"/>
        </w:rPr>
        <w:t>Economic progress and socio-political stability were obtained at the price of denied civil liberties and political freedom. The past policies</w:t>
      </w:r>
      <w:r>
        <w:rPr>
          <w:rFonts w:ascii="Times New Roman" w:hAnsi="Times New Roman" w:cs="Times New Roman"/>
        </w:rPr>
        <w:t xml:space="preserve">, implemented for the two decades preceding the 2011 revolution, </w:t>
      </w:r>
      <w:r w:rsidRPr="007B00A5">
        <w:rPr>
          <w:rFonts w:ascii="Times New Roman" w:hAnsi="Times New Roman" w:cs="Times New Roman"/>
        </w:rPr>
        <w:t>failed to address</w:t>
      </w:r>
      <w:r>
        <w:rPr>
          <w:rFonts w:ascii="Times New Roman" w:hAnsi="Times New Roman" w:cs="Times New Roman"/>
        </w:rPr>
        <w:t>—</w:t>
      </w:r>
      <w:r w:rsidRPr="007B00A5">
        <w:rPr>
          <w:rFonts w:ascii="Times New Roman" w:hAnsi="Times New Roman" w:cs="Times New Roman"/>
        </w:rPr>
        <w:t>and sometimes exacerbated</w:t>
      </w:r>
      <w:r>
        <w:rPr>
          <w:rFonts w:ascii="Times New Roman" w:hAnsi="Times New Roman" w:cs="Times New Roman"/>
        </w:rPr>
        <w:t>—</w:t>
      </w:r>
      <w:r w:rsidRPr="007B00A5">
        <w:rPr>
          <w:rFonts w:ascii="Times New Roman" w:hAnsi="Times New Roman" w:cs="Times New Roman"/>
        </w:rPr>
        <w:t xml:space="preserve">the deep-rooted distortions in the economy that prevented </w:t>
      </w:r>
      <w:r>
        <w:rPr>
          <w:rFonts w:ascii="Times New Roman" w:hAnsi="Times New Roman" w:cs="Times New Roman"/>
        </w:rPr>
        <w:t xml:space="preserve">operation of </w:t>
      </w:r>
      <w:r w:rsidRPr="007B00A5">
        <w:rPr>
          <w:rFonts w:ascii="Times New Roman" w:hAnsi="Times New Roman" w:cs="Times New Roman"/>
        </w:rPr>
        <w:t xml:space="preserve">the channels for a more equal and inclusive society (productive employment and job creation above all) and resulted in the unequal outcomes </w:t>
      </w:r>
      <w:r>
        <w:rPr>
          <w:rFonts w:ascii="Times New Roman" w:hAnsi="Times New Roman" w:cs="Times New Roman"/>
        </w:rPr>
        <w:t xml:space="preserve">still </w:t>
      </w:r>
      <w:r w:rsidRPr="007B00A5">
        <w:rPr>
          <w:rFonts w:ascii="Times New Roman" w:hAnsi="Times New Roman" w:cs="Times New Roman"/>
        </w:rPr>
        <w:t xml:space="preserve">observed today. These distortions, grounded </w:t>
      </w:r>
      <w:r>
        <w:rPr>
          <w:rFonts w:ascii="Times New Roman" w:hAnsi="Times New Roman" w:cs="Times New Roman"/>
        </w:rPr>
        <w:t xml:space="preserve">at the time </w:t>
      </w:r>
      <w:r w:rsidRPr="007B00A5">
        <w:rPr>
          <w:rFonts w:ascii="Times New Roman" w:hAnsi="Times New Roman" w:cs="Times New Roman"/>
        </w:rPr>
        <w:t>in a tightly controlled social and political space that favored the elites, have limited citizens’ active political, social</w:t>
      </w:r>
      <w:r>
        <w:rPr>
          <w:rFonts w:ascii="Times New Roman" w:hAnsi="Times New Roman" w:cs="Times New Roman"/>
        </w:rPr>
        <w:t>,</w:t>
      </w:r>
      <w:r w:rsidRPr="007B00A5">
        <w:rPr>
          <w:rFonts w:ascii="Times New Roman" w:hAnsi="Times New Roman" w:cs="Times New Roman"/>
        </w:rPr>
        <w:t xml:space="preserve"> and economic participation, and therefore hampered the long-term economic and social sustainability of the country’s development model. Growing inequality and unequal access to opportunities and assets eventually fueled a rising resentment among the population, undermining the implicit social contract that was holding the development model in place, which eventually imploded with the revolution of January 2011. </w:t>
      </w:r>
    </w:p>
    <w:p w:rsidR="004526F9" w:rsidRPr="00052EEA" w:rsidRDefault="004526F9" w:rsidP="004526F9">
      <w:pPr>
        <w:spacing w:after="0" w:line="240" w:lineRule="auto"/>
        <w:ind w:firstLine="720"/>
        <w:contextualSpacing/>
        <w:jc w:val="both"/>
        <w:rPr>
          <w:rFonts w:ascii="Times New Roman" w:hAnsi="Times New Roman" w:cs="Times New Roman"/>
        </w:rPr>
      </w:pPr>
    </w:p>
    <w:p w:rsidR="004526F9" w:rsidRDefault="004526F9" w:rsidP="004526F9">
      <w:pPr>
        <w:pStyle w:val="ListParagraph"/>
        <w:numPr>
          <w:ilvl w:val="0"/>
          <w:numId w:val="1"/>
        </w:numPr>
        <w:spacing w:after="0" w:line="240" w:lineRule="auto"/>
        <w:ind w:left="0" w:firstLine="720"/>
        <w:jc w:val="both"/>
        <w:rPr>
          <w:rFonts w:ascii="Times New Roman" w:hAnsi="Times New Roman" w:cs="Times New Roman"/>
        </w:rPr>
      </w:pPr>
      <w:r w:rsidRPr="007B00A5">
        <w:rPr>
          <w:rFonts w:ascii="Times New Roman" w:hAnsi="Times New Roman" w:cs="Times New Roman"/>
          <w:b/>
        </w:rPr>
        <w:t>Significant st</w:t>
      </w:r>
      <w:r>
        <w:rPr>
          <w:rFonts w:ascii="Times New Roman" w:hAnsi="Times New Roman" w:cs="Times New Roman"/>
          <w:b/>
        </w:rPr>
        <w:t>rides</w:t>
      </w:r>
      <w:r w:rsidRPr="007B00A5">
        <w:rPr>
          <w:rFonts w:ascii="Times New Roman" w:hAnsi="Times New Roman" w:cs="Times New Roman"/>
          <w:b/>
        </w:rPr>
        <w:t xml:space="preserve"> toward a more open, inclusive</w:t>
      </w:r>
      <w:r>
        <w:rPr>
          <w:rFonts w:ascii="Times New Roman" w:hAnsi="Times New Roman" w:cs="Times New Roman"/>
          <w:b/>
        </w:rPr>
        <w:t>,</w:t>
      </w:r>
      <w:r w:rsidRPr="007B00A5">
        <w:rPr>
          <w:rFonts w:ascii="Times New Roman" w:hAnsi="Times New Roman" w:cs="Times New Roman"/>
          <w:b/>
        </w:rPr>
        <w:t xml:space="preserve"> and transparent society have been </w:t>
      </w:r>
      <w:r>
        <w:rPr>
          <w:rFonts w:ascii="Times New Roman" w:hAnsi="Times New Roman" w:cs="Times New Roman"/>
          <w:b/>
        </w:rPr>
        <w:t xml:space="preserve">achieved </w:t>
      </w:r>
      <w:r w:rsidRPr="007B00A5">
        <w:rPr>
          <w:rFonts w:ascii="Times New Roman" w:hAnsi="Times New Roman" w:cs="Times New Roman"/>
          <w:b/>
        </w:rPr>
        <w:t>since the 2011 revolution, laying the foundations for a new social contract</w:t>
      </w:r>
      <w:r>
        <w:rPr>
          <w:rFonts w:ascii="Times New Roman" w:hAnsi="Times New Roman" w:cs="Times New Roman"/>
          <w:b/>
        </w:rPr>
        <w:t xml:space="preserve"> embodied in the new 2014 Constitution</w:t>
      </w:r>
      <w:r w:rsidRPr="007B00A5">
        <w:rPr>
          <w:rFonts w:ascii="Times New Roman" w:hAnsi="Times New Roman" w:cs="Times New Roman"/>
          <w:b/>
        </w:rPr>
        <w:t>.</w:t>
      </w:r>
      <w:r w:rsidRPr="008526EB">
        <w:rPr>
          <w:rFonts w:ascii="Times New Roman" w:hAnsi="Times New Roman" w:cs="Times New Roman"/>
          <w:b/>
        </w:rPr>
        <w:t xml:space="preserve"> </w:t>
      </w:r>
      <w:r w:rsidRPr="008526EB">
        <w:rPr>
          <w:rFonts w:ascii="Times New Roman" w:hAnsi="Times New Roman" w:cs="Times New Roman"/>
        </w:rPr>
        <w:t xml:space="preserve">Tunisia successfully implemented a sometimes rocky, but altogether remarkable democratic transition. Since the </w:t>
      </w:r>
      <w:r>
        <w:rPr>
          <w:rFonts w:ascii="Times New Roman" w:hAnsi="Times New Roman" w:cs="Times New Roman"/>
        </w:rPr>
        <w:t>r</w:t>
      </w:r>
      <w:r w:rsidRPr="008526EB">
        <w:rPr>
          <w:rFonts w:ascii="Times New Roman" w:hAnsi="Times New Roman" w:cs="Times New Roman"/>
        </w:rPr>
        <w:t>evolution, policies have mainly focused on the most immediate challenges (first and foremost combating security threats), while ensur</w:t>
      </w:r>
      <w:r>
        <w:rPr>
          <w:rFonts w:ascii="Times New Roman" w:hAnsi="Times New Roman" w:cs="Times New Roman"/>
        </w:rPr>
        <w:t xml:space="preserve">ing </w:t>
      </w:r>
      <w:r w:rsidRPr="008526EB">
        <w:rPr>
          <w:rFonts w:ascii="Times New Roman" w:hAnsi="Times New Roman" w:cs="Times New Roman"/>
        </w:rPr>
        <w:t>a most</w:t>
      </w:r>
      <w:r>
        <w:rPr>
          <w:rFonts w:ascii="Times New Roman" w:hAnsi="Times New Roman" w:cs="Times New Roman"/>
        </w:rPr>
        <w:t>-</w:t>
      </w:r>
      <w:r w:rsidRPr="008526EB">
        <w:rPr>
          <w:rFonts w:ascii="Times New Roman" w:hAnsi="Times New Roman" w:cs="Times New Roman"/>
        </w:rPr>
        <w:t>needed successful democratic transition, thereby leaving many of the structural economic and social challenges unaddressed. B</w:t>
      </w:r>
      <w:r w:rsidRPr="007B00A5">
        <w:rPr>
          <w:rFonts w:ascii="Times New Roman" w:hAnsi="Times New Roman" w:cs="Times New Roman"/>
        </w:rPr>
        <w:t xml:space="preserve">oosting shared prosperity will require a concerted effort to </w:t>
      </w:r>
      <w:r>
        <w:rPr>
          <w:rFonts w:ascii="Times New Roman" w:hAnsi="Times New Roman" w:cs="Times New Roman"/>
        </w:rPr>
        <w:t xml:space="preserve">further </w:t>
      </w:r>
      <w:r w:rsidRPr="007B00A5">
        <w:rPr>
          <w:rFonts w:ascii="Times New Roman" w:hAnsi="Times New Roman" w:cs="Times New Roman"/>
        </w:rPr>
        <w:t xml:space="preserve">strengthen the social contract, particularly in the area of promoting equality of opportunity. In the case of Tunisia, this will mean first and foremost re-establishing trust in public institutions and ensuring active citizen participation in </w:t>
      </w:r>
      <w:r w:rsidRPr="007B00A5">
        <w:rPr>
          <w:rFonts w:ascii="Times New Roman" w:hAnsi="Times New Roman" w:cs="Times New Roman"/>
        </w:rPr>
        <w:lastRenderedPageBreak/>
        <w:t>political and social affairs.</w:t>
      </w:r>
      <w:r>
        <w:rPr>
          <w:rFonts w:ascii="Times New Roman" w:hAnsi="Times New Roman" w:cs="Times New Roman"/>
        </w:rPr>
        <w:t xml:space="preserve"> </w:t>
      </w:r>
      <w:r w:rsidRPr="007B00A5">
        <w:rPr>
          <w:rFonts w:ascii="Times New Roman" w:hAnsi="Times New Roman" w:cs="Times New Roman"/>
        </w:rPr>
        <w:t xml:space="preserve">Significant progress has been </w:t>
      </w:r>
      <w:r>
        <w:rPr>
          <w:rFonts w:ascii="Times New Roman" w:hAnsi="Times New Roman" w:cs="Times New Roman"/>
        </w:rPr>
        <w:t xml:space="preserve">made </w:t>
      </w:r>
      <w:r w:rsidRPr="007B00A5">
        <w:rPr>
          <w:rFonts w:ascii="Times New Roman" w:hAnsi="Times New Roman" w:cs="Times New Roman"/>
        </w:rPr>
        <w:t>during the 2011-2014</w:t>
      </w:r>
      <w:r>
        <w:rPr>
          <w:rFonts w:ascii="Times New Roman" w:hAnsi="Times New Roman" w:cs="Times New Roman"/>
        </w:rPr>
        <w:t xml:space="preserve"> </w:t>
      </w:r>
      <w:r w:rsidRPr="007B00A5">
        <w:rPr>
          <w:rFonts w:ascii="Times New Roman" w:hAnsi="Times New Roman" w:cs="Times New Roman"/>
        </w:rPr>
        <w:t xml:space="preserve">political transition to strengthen transparency and participation, particularly by enhancing civil and political rights as </w:t>
      </w:r>
      <w:r w:rsidRPr="00DC7CC9">
        <w:rPr>
          <w:rFonts w:ascii="Times New Roman" w:hAnsi="Times New Roman" w:cs="Times New Roman"/>
        </w:rPr>
        <w:t>highlighted by the first free and fair elections in the country, increased freedom of press and association, easing restrictions on the operations of civil society organizations and other associations,</w:t>
      </w:r>
      <w:r>
        <w:rPr>
          <w:rFonts w:ascii="Times New Roman" w:hAnsi="Times New Roman" w:cs="Times New Roman"/>
        </w:rPr>
        <w:t xml:space="preserve"> and </w:t>
      </w:r>
      <w:r w:rsidRPr="00DC7CC9">
        <w:rPr>
          <w:rFonts w:ascii="Times New Roman" w:hAnsi="Times New Roman" w:cs="Times New Roman"/>
        </w:rPr>
        <w:t>improving economic governance. These major advances in terms of institutional, legislative and judicial framework</w:t>
      </w:r>
      <w:r>
        <w:rPr>
          <w:rFonts w:ascii="Times New Roman" w:hAnsi="Times New Roman" w:cs="Times New Roman"/>
        </w:rPr>
        <w:t>,</w:t>
      </w:r>
      <w:r w:rsidRPr="00DC7CC9">
        <w:rPr>
          <w:rFonts w:ascii="Times New Roman" w:hAnsi="Times New Roman" w:cs="Times New Roman"/>
        </w:rPr>
        <w:t xml:space="preserve"> and the recognition of rights which are now enshrined under the 2014 Constitution</w:t>
      </w:r>
      <w:r>
        <w:rPr>
          <w:rFonts w:ascii="Times New Roman" w:hAnsi="Times New Roman" w:cs="Times New Roman"/>
        </w:rPr>
        <w:t>,</w:t>
      </w:r>
      <w:r w:rsidRPr="00DC7CC9">
        <w:rPr>
          <w:rStyle w:val="FootnoteReference"/>
          <w:rFonts w:ascii="Times New Roman" w:hAnsi="Times New Roman" w:cs="Times New Roman"/>
        </w:rPr>
        <w:footnoteReference w:id="3"/>
      </w:r>
      <w:r w:rsidRPr="00DC7CC9">
        <w:rPr>
          <w:rFonts w:ascii="Times New Roman" w:hAnsi="Times New Roman" w:cs="Times New Roman"/>
        </w:rPr>
        <w:t xml:space="preserve"> will set the stage for furthering social progress and strengthening opportunities.</w:t>
      </w:r>
    </w:p>
    <w:p w:rsidR="004526F9" w:rsidRPr="00DC7CC9" w:rsidRDefault="004526F9" w:rsidP="004526F9">
      <w:pPr>
        <w:pStyle w:val="ListParagraph"/>
        <w:spacing w:after="0" w:line="240" w:lineRule="auto"/>
        <w:jc w:val="both"/>
        <w:rPr>
          <w:rFonts w:ascii="Times New Roman" w:hAnsi="Times New Roman" w:cs="Times New Roman"/>
        </w:rPr>
      </w:pPr>
    </w:p>
    <w:p w:rsidR="004526F9" w:rsidRPr="007B00A5" w:rsidRDefault="004526F9" w:rsidP="004526F9">
      <w:pPr>
        <w:pStyle w:val="ListParagraph"/>
        <w:numPr>
          <w:ilvl w:val="0"/>
          <w:numId w:val="1"/>
        </w:numPr>
        <w:spacing w:after="0" w:line="240" w:lineRule="auto"/>
        <w:ind w:left="0" w:firstLine="720"/>
        <w:jc w:val="both"/>
        <w:rPr>
          <w:rFonts w:ascii="Times New Roman" w:hAnsi="Times New Roman" w:cs="Times New Roman"/>
        </w:rPr>
      </w:pPr>
      <w:r>
        <w:rPr>
          <w:rFonts w:ascii="Times New Roman" w:hAnsi="Times New Roman" w:cs="Times New Roman"/>
          <w:b/>
        </w:rPr>
        <w:t xml:space="preserve">Having successfully completed a historical and remarkable democratic transition, Tunisia can now embrace an unprecedented opportunity to </w:t>
      </w:r>
      <w:r w:rsidRPr="0062757F">
        <w:rPr>
          <w:rFonts w:ascii="Times New Roman" w:hAnsi="Times New Roman" w:cs="Times New Roman"/>
          <w:b/>
        </w:rPr>
        <w:t xml:space="preserve">unlock the economic and institutional reforms necessary to put </w:t>
      </w:r>
      <w:r>
        <w:rPr>
          <w:rFonts w:ascii="Times New Roman" w:hAnsi="Times New Roman" w:cs="Times New Roman"/>
          <w:b/>
        </w:rPr>
        <w:t>the country</w:t>
      </w:r>
      <w:r w:rsidRPr="0062757F">
        <w:rPr>
          <w:rFonts w:ascii="Times New Roman" w:hAnsi="Times New Roman" w:cs="Times New Roman"/>
          <w:b/>
        </w:rPr>
        <w:t xml:space="preserve"> on a faster </w:t>
      </w:r>
      <w:r>
        <w:rPr>
          <w:rFonts w:ascii="Times New Roman" w:hAnsi="Times New Roman" w:cs="Times New Roman"/>
          <w:b/>
        </w:rPr>
        <w:t xml:space="preserve">and more inclusive </w:t>
      </w:r>
      <w:r w:rsidRPr="0062757F">
        <w:rPr>
          <w:rFonts w:ascii="Times New Roman" w:hAnsi="Times New Roman" w:cs="Times New Roman"/>
          <w:b/>
        </w:rPr>
        <w:t>development path</w:t>
      </w:r>
      <w:r>
        <w:rPr>
          <w:rFonts w:ascii="Times New Roman" w:hAnsi="Times New Roman" w:cs="Times New Roman"/>
          <w:b/>
        </w:rPr>
        <w:t xml:space="preserve">. </w:t>
      </w:r>
      <w:r w:rsidRPr="008526EB">
        <w:rPr>
          <w:rFonts w:ascii="Times New Roman" w:hAnsi="Times New Roman" w:cs="Times New Roman"/>
        </w:rPr>
        <w:t>Tunisia</w:t>
      </w:r>
      <w:r>
        <w:rPr>
          <w:rFonts w:ascii="Times New Roman" w:hAnsi="Times New Roman" w:cs="Times New Roman"/>
        </w:rPr>
        <w:t>,</w:t>
      </w:r>
      <w:r w:rsidRPr="008526EB">
        <w:rPr>
          <w:rFonts w:ascii="Times New Roman" w:hAnsi="Times New Roman" w:cs="Times New Roman"/>
        </w:rPr>
        <w:t xml:space="preserve"> as many middle income countries</w:t>
      </w:r>
      <w:r>
        <w:rPr>
          <w:rFonts w:ascii="Times New Roman" w:hAnsi="Times New Roman" w:cs="Times New Roman"/>
        </w:rPr>
        <w:t>,</w:t>
      </w:r>
      <w:r w:rsidRPr="008526EB">
        <w:rPr>
          <w:rFonts w:ascii="Times New Roman" w:hAnsi="Times New Roman" w:cs="Times New Roman"/>
        </w:rPr>
        <w:t xml:space="preserve"> has made considerable strides in meeting the basic needs of the population (as shown in the improvement of human development indicators). However, the need to strengthen the link between growth and social progress</w:t>
      </w:r>
      <w:r>
        <w:rPr>
          <w:rFonts w:ascii="Times New Roman" w:hAnsi="Times New Roman" w:cs="Times New Roman"/>
        </w:rPr>
        <w:t xml:space="preserve">, notably through the channel of more and higher quality employment opportunities, </w:t>
      </w:r>
      <w:r w:rsidRPr="008526EB">
        <w:rPr>
          <w:rFonts w:ascii="Times New Roman" w:hAnsi="Times New Roman" w:cs="Times New Roman"/>
        </w:rPr>
        <w:t>remains</w:t>
      </w:r>
      <w:r w:rsidRPr="007B00A5">
        <w:rPr>
          <w:rFonts w:ascii="Times New Roman" w:hAnsi="Times New Roman" w:cs="Times New Roman"/>
        </w:rPr>
        <w:t xml:space="preserve"> </w:t>
      </w:r>
      <w:r>
        <w:rPr>
          <w:rFonts w:ascii="Times New Roman" w:hAnsi="Times New Roman" w:cs="Times New Roman"/>
        </w:rPr>
        <w:t xml:space="preserve">an imperative </w:t>
      </w:r>
      <w:r w:rsidRPr="007B00A5">
        <w:rPr>
          <w:rFonts w:ascii="Times New Roman" w:hAnsi="Times New Roman" w:cs="Times New Roman"/>
        </w:rPr>
        <w:t xml:space="preserve">and </w:t>
      </w:r>
      <w:r>
        <w:rPr>
          <w:rFonts w:ascii="Times New Roman" w:hAnsi="Times New Roman" w:cs="Times New Roman"/>
        </w:rPr>
        <w:t>will</w:t>
      </w:r>
      <w:r w:rsidRPr="007B00A5">
        <w:rPr>
          <w:rFonts w:ascii="Times New Roman" w:hAnsi="Times New Roman" w:cs="Times New Roman"/>
        </w:rPr>
        <w:t xml:space="preserve"> determine the </w:t>
      </w:r>
      <w:r>
        <w:rPr>
          <w:rFonts w:ascii="Times New Roman" w:hAnsi="Times New Roman" w:cs="Times New Roman"/>
        </w:rPr>
        <w:t>extent to which</w:t>
      </w:r>
      <w:r w:rsidRPr="007B00A5">
        <w:rPr>
          <w:rFonts w:ascii="Times New Roman" w:hAnsi="Times New Roman" w:cs="Times New Roman"/>
        </w:rPr>
        <w:t xml:space="preserve"> Tunisia </w:t>
      </w:r>
      <w:r>
        <w:rPr>
          <w:rFonts w:ascii="Times New Roman" w:hAnsi="Times New Roman" w:cs="Times New Roman"/>
        </w:rPr>
        <w:t xml:space="preserve">could embark on a more robust, sustainable, and inclusive growth </w:t>
      </w:r>
      <w:r w:rsidRPr="007B00A5">
        <w:rPr>
          <w:rFonts w:ascii="Times New Roman" w:hAnsi="Times New Roman" w:cs="Times New Roman"/>
        </w:rPr>
        <w:t>path. Advances in terms of citizens’ participation and agency, and improved governance in the economy and in the society at large would in fact unleash the potential for higher growth thanks to a more dynamic private sector</w:t>
      </w:r>
      <w:r>
        <w:rPr>
          <w:rFonts w:ascii="Times New Roman" w:hAnsi="Times New Roman" w:cs="Times New Roman"/>
        </w:rPr>
        <w:t xml:space="preserve">, higher productivity and innovation and a more efficient public sector, all </w:t>
      </w:r>
      <w:r w:rsidRPr="007B00A5">
        <w:rPr>
          <w:rFonts w:ascii="Times New Roman" w:hAnsi="Times New Roman" w:cs="Times New Roman"/>
        </w:rPr>
        <w:t>enhancing</w:t>
      </w:r>
      <w:r>
        <w:rPr>
          <w:rFonts w:ascii="Times New Roman" w:hAnsi="Times New Roman" w:cs="Times New Roman"/>
        </w:rPr>
        <w:t xml:space="preserve"> </w:t>
      </w:r>
      <w:r w:rsidRPr="007B00A5">
        <w:rPr>
          <w:rFonts w:ascii="Times New Roman" w:hAnsi="Times New Roman" w:cs="Times New Roman"/>
        </w:rPr>
        <w:t>human and social capital.</w:t>
      </w:r>
      <w:r w:rsidRPr="00074FD9">
        <w:rPr>
          <w:rFonts w:ascii="Times New Roman" w:hAnsi="Times New Roman" w:cs="Times New Roman"/>
        </w:rPr>
        <w:t xml:space="preserve"> The opening of the political </w:t>
      </w:r>
      <w:r>
        <w:rPr>
          <w:rFonts w:ascii="Times New Roman" w:hAnsi="Times New Roman" w:cs="Times New Roman"/>
        </w:rPr>
        <w:t xml:space="preserve">and social </w:t>
      </w:r>
      <w:r w:rsidRPr="00074FD9">
        <w:rPr>
          <w:rFonts w:ascii="Times New Roman" w:hAnsi="Times New Roman" w:cs="Times New Roman"/>
        </w:rPr>
        <w:t xml:space="preserve">space </w:t>
      </w:r>
      <w:r>
        <w:rPr>
          <w:rFonts w:ascii="Times New Roman" w:hAnsi="Times New Roman" w:cs="Times New Roman"/>
        </w:rPr>
        <w:t xml:space="preserve">brought by the new democratic setting </w:t>
      </w:r>
      <w:r w:rsidRPr="00074FD9">
        <w:rPr>
          <w:rFonts w:ascii="Times New Roman" w:hAnsi="Times New Roman" w:cs="Times New Roman"/>
        </w:rPr>
        <w:t>offers an unprecedented opportunity to build on a participative social and economic dialogue to identify channels to strengthen the link between growth, welfare</w:t>
      </w:r>
      <w:r>
        <w:rPr>
          <w:rFonts w:ascii="Times New Roman" w:hAnsi="Times New Roman" w:cs="Times New Roman"/>
        </w:rPr>
        <w:t>,</w:t>
      </w:r>
      <w:r w:rsidRPr="00074FD9">
        <w:rPr>
          <w:rFonts w:ascii="Times New Roman" w:hAnsi="Times New Roman" w:cs="Times New Roman"/>
        </w:rPr>
        <w:t xml:space="preserve"> and citizen participation. This dialogue, conducted </w:t>
      </w:r>
      <w:r>
        <w:rPr>
          <w:rFonts w:ascii="Times New Roman" w:hAnsi="Times New Roman" w:cs="Times New Roman"/>
        </w:rPr>
        <w:t xml:space="preserve">by domestic stakeholders </w:t>
      </w:r>
      <w:r w:rsidRPr="00074FD9">
        <w:rPr>
          <w:rFonts w:ascii="Times New Roman" w:hAnsi="Times New Roman" w:cs="Times New Roman"/>
        </w:rPr>
        <w:t>with the technical support of international partners</w:t>
      </w:r>
      <w:r>
        <w:rPr>
          <w:rFonts w:ascii="Times New Roman" w:hAnsi="Times New Roman" w:cs="Times New Roman"/>
        </w:rPr>
        <w:t xml:space="preserve"> as needed</w:t>
      </w:r>
      <w:r w:rsidRPr="00074FD9">
        <w:rPr>
          <w:rFonts w:ascii="Times New Roman" w:hAnsi="Times New Roman" w:cs="Times New Roman"/>
        </w:rPr>
        <w:t xml:space="preserve">, </w:t>
      </w:r>
      <w:r>
        <w:rPr>
          <w:rFonts w:ascii="Times New Roman" w:hAnsi="Times New Roman" w:cs="Times New Roman"/>
        </w:rPr>
        <w:t>will</w:t>
      </w:r>
      <w:r w:rsidRPr="00074FD9">
        <w:rPr>
          <w:rFonts w:ascii="Times New Roman" w:hAnsi="Times New Roman" w:cs="Times New Roman"/>
        </w:rPr>
        <w:t xml:space="preserve"> reinforce the design and implementation of policies </w:t>
      </w:r>
      <w:r>
        <w:rPr>
          <w:rFonts w:ascii="Times New Roman" w:hAnsi="Times New Roman" w:cs="Times New Roman"/>
        </w:rPr>
        <w:t>to</w:t>
      </w:r>
      <w:r w:rsidRPr="00074FD9">
        <w:rPr>
          <w:rFonts w:ascii="Times New Roman" w:hAnsi="Times New Roman" w:cs="Times New Roman"/>
        </w:rPr>
        <w:t xml:space="preserve"> deliver higher growth and inclusion.</w:t>
      </w:r>
    </w:p>
    <w:p w:rsidR="004526F9" w:rsidRPr="00DC7CC9" w:rsidRDefault="004526F9" w:rsidP="004526F9">
      <w:pPr>
        <w:spacing w:after="0" w:line="240" w:lineRule="auto"/>
        <w:ind w:firstLine="720"/>
        <w:jc w:val="both"/>
        <w:rPr>
          <w:rFonts w:ascii="Times New Roman" w:hAnsi="Times New Roman" w:cs="Times New Roman"/>
        </w:rPr>
      </w:pPr>
    </w:p>
    <w:p w:rsidR="004526F9" w:rsidRPr="00CE27EA"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b/>
        </w:rPr>
      </w:pPr>
      <w:r w:rsidRPr="006C4276">
        <w:rPr>
          <w:rFonts w:ascii="Times New Roman" w:hAnsi="Times New Roman" w:cs="Times New Roman"/>
          <w:b/>
        </w:rPr>
        <w:t xml:space="preserve">Substantial </w:t>
      </w:r>
      <w:r>
        <w:rPr>
          <w:rFonts w:ascii="Times New Roman" w:hAnsi="Times New Roman" w:cs="Times New Roman"/>
          <w:b/>
        </w:rPr>
        <w:t xml:space="preserve">and timely </w:t>
      </w:r>
      <w:r w:rsidRPr="006C4276">
        <w:rPr>
          <w:rFonts w:ascii="Times New Roman" w:hAnsi="Times New Roman" w:cs="Times New Roman"/>
          <w:b/>
        </w:rPr>
        <w:t xml:space="preserve">action is now required to </w:t>
      </w:r>
      <w:r>
        <w:rPr>
          <w:rFonts w:ascii="Times New Roman" w:hAnsi="Times New Roman" w:cs="Times New Roman"/>
          <w:b/>
        </w:rPr>
        <w:t xml:space="preserve">trigger the structural </w:t>
      </w:r>
      <w:r w:rsidRPr="006C4276">
        <w:rPr>
          <w:rFonts w:ascii="Times New Roman" w:hAnsi="Times New Roman" w:cs="Times New Roman"/>
          <w:b/>
        </w:rPr>
        <w:t xml:space="preserve">transformation </w:t>
      </w:r>
      <w:r>
        <w:rPr>
          <w:rFonts w:ascii="Times New Roman" w:hAnsi="Times New Roman" w:cs="Times New Roman"/>
          <w:b/>
        </w:rPr>
        <w:t xml:space="preserve">of Tunisia’s economy, which would </w:t>
      </w:r>
      <w:r w:rsidRPr="006C4276">
        <w:rPr>
          <w:rFonts w:ascii="Times New Roman" w:hAnsi="Times New Roman" w:cs="Times New Roman"/>
          <w:b/>
        </w:rPr>
        <w:t>ensure sustained</w:t>
      </w:r>
      <w:r>
        <w:rPr>
          <w:rFonts w:ascii="Times New Roman" w:hAnsi="Times New Roman" w:cs="Times New Roman"/>
          <w:b/>
        </w:rPr>
        <w:t>, sustainable,</w:t>
      </w:r>
      <w:r w:rsidRPr="006C4276">
        <w:rPr>
          <w:rFonts w:ascii="Times New Roman" w:hAnsi="Times New Roman" w:cs="Times New Roman"/>
          <w:b/>
        </w:rPr>
        <w:t xml:space="preserve"> and inclusive growth.</w:t>
      </w:r>
      <w:r>
        <w:rPr>
          <w:rFonts w:ascii="Times New Roman" w:hAnsi="Times New Roman" w:cs="Times New Roman"/>
          <w:b/>
        </w:rPr>
        <w:t xml:space="preserve"> </w:t>
      </w:r>
      <w:r w:rsidRPr="006C4276">
        <w:rPr>
          <w:rFonts w:ascii="Times New Roman" w:hAnsi="Times New Roman" w:cs="Times New Roman"/>
        </w:rPr>
        <w:t xml:space="preserve">Growing evidence suggests that improving access </w:t>
      </w:r>
      <w:r>
        <w:rPr>
          <w:rFonts w:ascii="Times New Roman" w:hAnsi="Times New Roman" w:cs="Times New Roman"/>
        </w:rPr>
        <w:t xml:space="preserve">to economic opportunities and social services </w:t>
      </w:r>
      <w:r w:rsidRPr="006C4276">
        <w:rPr>
          <w:rFonts w:ascii="Times New Roman" w:hAnsi="Times New Roman" w:cs="Times New Roman"/>
        </w:rPr>
        <w:t xml:space="preserve">and </w:t>
      </w:r>
      <w:r>
        <w:rPr>
          <w:rFonts w:ascii="Times New Roman" w:hAnsi="Times New Roman" w:cs="Times New Roman"/>
        </w:rPr>
        <w:t xml:space="preserve">tackling disparities </w:t>
      </w:r>
      <w:r w:rsidRPr="006C4276">
        <w:rPr>
          <w:rFonts w:ascii="Times New Roman" w:hAnsi="Times New Roman" w:cs="Times New Roman"/>
        </w:rPr>
        <w:t>are not only about “fairness” and building a “just society</w:t>
      </w:r>
      <w:r>
        <w:rPr>
          <w:rFonts w:ascii="Times New Roman" w:hAnsi="Times New Roman" w:cs="Times New Roman"/>
        </w:rPr>
        <w:t xml:space="preserve">,” </w:t>
      </w:r>
      <w:r w:rsidRPr="006C4276">
        <w:rPr>
          <w:rFonts w:ascii="Times New Roman" w:hAnsi="Times New Roman" w:cs="Times New Roman"/>
        </w:rPr>
        <w:t>but also about realizing a society’s aspirations of economic prosperity.</w:t>
      </w:r>
      <w:r>
        <w:rPr>
          <w:rFonts w:ascii="Times New Roman" w:hAnsi="Times New Roman" w:cs="Times New Roman"/>
        </w:rPr>
        <w:t xml:space="preserve"> </w:t>
      </w:r>
      <w:r w:rsidRPr="006C4276">
        <w:rPr>
          <w:rFonts w:ascii="Times New Roman" w:hAnsi="Times New Roman" w:cs="Times New Roman"/>
        </w:rPr>
        <w:t>While reinforcing security for citizens and businesses will continue to be a major policy focus in the medium-term, deep structural reforms</w:t>
      </w:r>
      <w:r>
        <w:rPr>
          <w:rFonts w:ascii="Times New Roman" w:hAnsi="Times New Roman" w:cs="Times New Roman"/>
        </w:rPr>
        <w:t>,</w:t>
      </w:r>
      <w:r w:rsidRPr="006C4276">
        <w:rPr>
          <w:rFonts w:ascii="Times New Roman" w:hAnsi="Times New Roman" w:cs="Times New Roman"/>
          <w:b/>
        </w:rPr>
        <w:t xml:space="preserve"> </w:t>
      </w:r>
      <w:r w:rsidRPr="006C4276">
        <w:rPr>
          <w:rFonts w:ascii="Times New Roman" w:hAnsi="Times New Roman" w:cs="Times New Roman"/>
        </w:rPr>
        <w:t>including promoting value creation and innovation, and continuing to dismantle undue economic rents and privileges</w:t>
      </w:r>
      <w:r>
        <w:rPr>
          <w:rFonts w:ascii="Times New Roman" w:hAnsi="Times New Roman" w:cs="Times New Roman"/>
        </w:rPr>
        <w:t>,</w:t>
      </w:r>
      <w:r w:rsidRPr="006C4276">
        <w:rPr>
          <w:rFonts w:ascii="Times New Roman" w:hAnsi="Times New Roman" w:cs="Times New Roman"/>
        </w:rPr>
        <w:t xml:space="preserve"> remain crucial</w:t>
      </w:r>
      <w:r w:rsidRPr="006C4276">
        <w:rPr>
          <w:rFonts w:ascii="Times New Roman" w:hAnsi="Times New Roman" w:cs="Times New Roman"/>
          <w:b/>
        </w:rPr>
        <w:t xml:space="preserve"> </w:t>
      </w:r>
      <w:r w:rsidRPr="006C4276">
        <w:rPr>
          <w:rFonts w:ascii="Times New Roman" w:hAnsi="Times New Roman" w:cs="Times New Roman"/>
        </w:rPr>
        <w:t>to enabl</w:t>
      </w:r>
      <w:r>
        <w:rPr>
          <w:rFonts w:ascii="Times New Roman" w:hAnsi="Times New Roman" w:cs="Times New Roman"/>
        </w:rPr>
        <w:t>ing</w:t>
      </w:r>
      <w:r w:rsidRPr="006C4276">
        <w:rPr>
          <w:rFonts w:ascii="Times New Roman" w:hAnsi="Times New Roman" w:cs="Times New Roman"/>
        </w:rPr>
        <w:t xml:space="preserve"> a lasting economic recovery, and to join the path of upper MICs </w:t>
      </w:r>
      <w:r>
        <w:rPr>
          <w:rFonts w:ascii="Times New Roman" w:hAnsi="Times New Roman" w:cs="Times New Roman"/>
        </w:rPr>
        <w:t xml:space="preserve">in other regions, </w:t>
      </w:r>
      <w:r w:rsidRPr="006C4276">
        <w:rPr>
          <w:rFonts w:ascii="Times New Roman" w:hAnsi="Times New Roman" w:cs="Times New Roman"/>
        </w:rPr>
        <w:t>which have performed much better than Tunisia over the past two decades. These reforms would need to tap on the country’s underlying capabilities and realign incentives to facilitate sustained and inclusive growth. In this context, this Systematic Country Diagnostic identifie</w:t>
      </w:r>
      <w:r>
        <w:rPr>
          <w:rFonts w:ascii="Times New Roman" w:hAnsi="Times New Roman" w:cs="Times New Roman"/>
        </w:rPr>
        <w:t xml:space="preserve">s </w:t>
      </w:r>
      <w:r w:rsidRPr="006C4276">
        <w:rPr>
          <w:rFonts w:ascii="Times New Roman" w:hAnsi="Times New Roman" w:cs="Times New Roman"/>
        </w:rPr>
        <w:t>the</w:t>
      </w:r>
      <w:r>
        <w:rPr>
          <w:rFonts w:ascii="Times New Roman" w:hAnsi="Times New Roman" w:cs="Times New Roman"/>
        </w:rPr>
        <w:t xml:space="preserve"> promotion of </w:t>
      </w:r>
      <w:r w:rsidRPr="006C4276">
        <w:rPr>
          <w:rFonts w:ascii="Times New Roman" w:hAnsi="Times New Roman" w:cs="Times New Roman"/>
        </w:rPr>
        <w:t>private</w:t>
      </w:r>
      <w:r>
        <w:rPr>
          <w:rFonts w:ascii="Times New Roman" w:hAnsi="Times New Roman" w:cs="Times New Roman"/>
        </w:rPr>
        <w:t>-</w:t>
      </w:r>
      <w:r w:rsidRPr="006C4276">
        <w:rPr>
          <w:rFonts w:ascii="Times New Roman" w:hAnsi="Times New Roman" w:cs="Times New Roman"/>
        </w:rPr>
        <w:t>sector- driven growth (and job creation</w:t>
      </w:r>
      <w:r>
        <w:rPr>
          <w:rFonts w:ascii="Times New Roman" w:hAnsi="Times New Roman" w:cs="Times New Roman"/>
        </w:rPr>
        <w:t xml:space="preserve">) and the improvement of </w:t>
      </w:r>
      <w:r w:rsidRPr="006C4276">
        <w:rPr>
          <w:rFonts w:ascii="Times New Roman" w:hAnsi="Times New Roman" w:cs="Times New Roman"/>
        </w:rPr>
        <w:t>equality of opportunities</w:t>
      </w:r>
      <w:r>
        <w:rPr>
          <w:rFonts w:ascii="Times New Roman" w:hAnsi="Times New Roman" w:cs="Times New Roman"/>
        </w:rPr>
        <w:t xml:space="preserve"> as the</w:t>
      </w:r>
      <w:r w:rsidRPr="006C4276">
        <w:rPr>
          <w:rFonts w:ascii="Times New Roman" w:hAnsi="Times New Roman" w:cs="Times New Roman"/>
        </w:rPr>
        <w:t xml:space="preserve"> two key drivers of change where it is advisable to </w:t>
      </w:r>
      <w:r>
        <w:rPr>
          <w:rFonts w:ascii="Times New Roman" w:hAnsi="Times New Roman" w:cs="Times New Roman"/>
        </w:rPr>
        <w:t xml:space="preserve">decisive policy </w:t>
      </w:r>
      <w:r w:rsidRPr="006C4276">
        <w:rPr>
          <w:rFonts w:ascii="Times New Roman" w:hAnsi="Times New Roman" w:cs="Times New Roman"/>
        </w:rPr>
        <w:t xml:space="preserve">initiatives. </w:t>
      </w:r>
    </w:p>
    <w:p w:rsidR="004526F9" w:rsidRDefault="004526F9" w:rsidP="004526F9">
      <w:pPr>
        <w:overflowPunct w:val="0"/>
        <w:autoSpaceDE w:val="0"/>
        <w:autoSpaceDN w:val="0"/>
        <w:adjustRightInd w:val="0"/>
        <w:spacing w:after="0" w:line="240" w:lineRule="auto"/>
        <w:jc w:val="both"/>
        <w:textAlignment w:val="baseline"/>
        <w:rPr>
          <w:rFonts w:ascii="Times New Roman" w:hAnsi="Times New Roman" w:cs="Times New Roman"/>
          <w:b/>
        </w:rPr>
      </w:pPr>
    </w:p>
    <w:p w:rsidR="004526F9" w:rsidRPr="00CE27EA" w:rsidRDefault="004526F9" w:rsidP="009B3880">
      <w:pPr>
        <w:pStyle w:val="Heading1"/>
        <w:numPr>
          <w:ilvl w:val="0"/>
          <w:numId w:val="6"/>
        </w:numPr>
      </w:pPr>
      <w:bookmarkStart w:id="3" w:name="_Toc292977971"/>
      <w:r w:rsidRPr="00CE27EA">
        <w:t>Tunisia Systematic Country Diagnostic</w:t>
      </w:r>
      <w:bookmarkEnd w:id="3"/>
    </w:p>
    <w:p w:rsidR="004526F9" w:rsidRPr="006C4276" w:rsidRDefault="004526F9" w:rsidP="004526F9">
      <w:pPr>
        <w:pStyle w:val="ListParagraph"/>
        <w:overflowPunct w:val="0"/>
        <w:autoSpaceDE w:val="0"/>
        <w:autoSpaceDN w:val="0"/>
        <w:adjustRightInd w:val="0"/>
        <w:spacing w:after="0" w:line="240" w:lineRule="auto"/>
        <w:jc w:val="both"/>
        <w:textAlignment w:val="baseline"/>
        <w:rPr>
          <w:rFonts w:ascii="Times New Roman" w:hAnsi="Times New Roman" w:cs="Times New Roman"/>
          <w:b/>
        </w:rPr>
      </w:pPr>
    </w:p>
    <w:p w:rsidR="004526F9" w:rsidRPr="006C4276" w:rsidRDefault="004526F9" w:rsidP="004526F9">
      <w:pPr>
        <w:pStyle w:val="ListParagraph"/>
        <w:numPr>
          <w:ilvl w:val="0"/>
          <w:numId w:val="1"/>
        </w:numPr>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rPr>
      </w:pPr>
      <w:r w:rsidRPr="006C4276">
        <w:rPr>
          <w:rFonts w:ascii="Times New Roman" w:hAnsi="Times New Roman" w:cs="Times New Roman"/>
          <w:b/>
        </w:rPr>
        <w:lastRenderedPageBreak/>
        <w:t>A</w:t>
      </w:r>
      <w:r w:rsidRPr="006C4276">
        <w:rPr>
          <w:rFonts w:ascii="Times New Roman" w:hAnsi="Times New Roman" w:cs="Times New Roman"/>
        </w:rPr>
        <w:t xml:space="preserve"> </w:t>
      </w:r>
      <w:r w:rsidRPr="006C4276">
        <w:rPr>
          <w:rFonts w:ascii="Times New Roman" w:hAnsi="Times New Roman" w:cs="Times New Roman"/>
          <w:b/>
        </w:rPr>
        <w:t xml:space="preserve">sound macroeconomic framework and a stable socio-political context are necessary conditions </w:t>
      </w:r>
      <w:r>
        <w:rPr>
          <w:rFonts w:ascii="Times New Roman" w:hAnsi="Times New Roman" w:cs="Times New Roman"/>
          <w:b/>
        </w:rPr>
        <w:t>toward</w:t>
      </w:r>
      <w:r w:rsidRPr="006C4276">
        <w:rPr>
          <w:rFonts w:ascii="Times New Roman" w:hAnsi="Times New Roman" w:cs="Times New Roman"/>
          <w:b/>
        </w:rPr>
        <w:t xml:space="preserve"> the development of a truly inclusive economic model.</w:t>
      </w:r>
      <w:r w:rsidRPr="006C4276">
        <w:rPr>
          <w:rFonts w:ascii="Times New Roman" w:hAnsi="Times New Roman" w:cs="Times New Roman"/>
        </w:rPr>
        <w:t xml:space="preserve"> Higher economic growth that translates into better jobs is a necessary condition to increase people</w:t>
      </w:r>
      <w:r>
        <w:rPr>
          <w:rFonts w:ascii="Times New Roman" w:hAnsi="Times New Roman" w:cs="Times New Roman"/>
        </w:rPr>
        <w:t>’s</w:t>
      </w:r>
      <w:r w:rsidRPr="006C4276">
        <w:rPr>
          <w:rFonts w:ascii="Times New Roman" w:hAnsi="Times New Roman" w:cs="Times New Roman"/>
        </w:rPr>
        <w:t xml:space="preserve"> prosperity</w:t>
      </w:r>
      <w:r>
        <w:rPr>
          <w:rFonts w:ascii="Times New Roman" w:hAnsi="Times New Roman" w:cs="Times New Roman"/>
        </w:rPr>
        <w:t xml:space="preserve">, </w:t>
      </w:r>
      <w:r w:rsidRPr="006C4276">
        <w:rPr>
          <w:rFonts w:ascii="Times New Roman" w:hAnsi="Times New Roman" w:cs="Times New Roman"/>
        </w:rPr>
        <w:t>requir</w:t>
      </w:r>
      <w:r>
        <w:rPr>
          <w:rFonts w:ascii="Times New Roman" w:hAnsi="Times New Roman" w:cs="Times New Roman"/>
        </w:rPr>
        <w:t xml:space="preserve">ing </w:t>
      </w:r>
      <w:r w:rsidRPr="006C4276">
        <w:rPr>
          <w:rFonts w:ascii="Times New Roman" w:hAnsi="Times New Roman" w:cs="Times New Roman"/>
        </w:rPr>
        <w:t xml:space="preserve">a sound macroeconomic framework and </w:t>
      </w:r>
      <w:r>
        <w:rPr>
          <w:rFonts w:ascii="Times New Roman" w:hAnsi="Times New Roman" w:cs="Times New Roman"/>
        </w:rPr>
        <w:t xml:space="preserve">(especially </w:t>
      </w:r>
      <w:r w:rsidRPr="006C4276">
        <w:rPr>
          <w:rFonts w:ascii="Times New Roman" w:hAnsi="Times New Roman" w:cs="Times New Roman"/>
        </w:rPr>
        <w:t xml:space="preserve">for countries </w:t>
      </w:r>
      <w:r>
        <w:rPr>
          <w:rFonts w:ascii="Times New Roman" w:hAnsi="Times New Roman" w:cs="Times New Roman"/>
        </w:rPr>
        <w:t>that</w:t>
      </w:r>
      <w:r w:rsidRPr="006C4276">
        <w:rPr>
          <w:rFonts w:ascii="Times New Roman" w:hAnsi="Times New Roman" w:cs="Times New Roman"/>
        </w:rPr>
        <w:t xml:space="preserve"> have just exited a political transition period like Tunisia</w:t>
      </w:r>
      <w:r>
        <w:rPr>
          <w:rFonts w:ascii="Times New Roman" w:hAnsi="Times New Roman" w:cs="Times New Roman"/>
        </w:rPr>
        <w:t>)</w:t>
      </w:r>
      <w:r w:rsidRPr="006C4276">
        <w:rPr>
          <w:rFonts w:ascii="Times New Roman" w:hAnsi="Times New Roman" w:cs="Times New Roman"/>
        </w:rPr>
        <w:t xml:space="preserve"> a suitable level of political stability and security. Macroeconomic and financial stability is central to protecting the income and wellbeing of the less </w:t>
      </w:r>
      <w:proofErr w:type="spellStart"/>
      <w:r w:rsidRPr="006C4276">
        <w:rPr>
          <w:rFonts w:ascii="Times New Roman" w:hAnsi="Times New Roman" w:cs="Times New Roman"/>
        </w:rPr>
        <w:t>well</w:t>
      </w:r>
      <w:r>
        <w:rPr>
          <w:rFonts w:ascii="Times New Roman" w:hAnsi="Times New Roman" w:cs="Times New Roman"/>
        </w:rPr>
        <w:t xml:space="preserve"> </w:t>
      </w:r>
      <w:r w:rsidRPr="006C4276">
        <w:rPr>
          <w:rFonts w:ascii="Times New Roman" w:hAnsi="Times New Roman" w:cs="Times New Roman"/>
        </w:rPr>
        <w:t>off</w:t>
      </w:r>
      <w:proofErr w:type="spellEnd"/>
      <w:r w:rsidRPr="006C4276">
        <w:rPr>
          <w:rFonts w:ascii="Times New Roman" w:hAnsi="Times New Roman" w:cs="Times New Roman"/>
        </w:rPr>
        <w:t xml:space="preserve"> and creating the basic conditions for private investment, growth, and shared prosperity.</w:t>
      </w:r>
      <w:r>
        <w:rPr>
          <w:rFonts w:ascii="Times New Roman" w:hAnsi="Times New Roman" w:cs="Times New Roman"/>
        </w:rPr>
        <w:t xml:space="preserve"> </w:t>
      </w:r>
      <w:r w:rsidRPr="006C4276">
        <w:rPr>
          <w:rFonts w:ascii="Times New Roman" w:hAnsi="Times New Roman" w:cs="Times New Roman"/>
        </w:rPr>
        <w:t>Together with ensuring that the political, security</w:t>
      </w:r>
      <w:r>
        <w:rPr>
          <w:rFonts w:ascii="Times New Roman" w:hAnsi="Times New Roman" w:cs="Times New Roman"/>
        </w:rPr>
        <w:t>,</w:t>
      </w:r>
      <w:r w:rsidRPr="006C4276">
        <w:rPr>
          <w:rFonts w:ascii="Times New Roman" w:hAnsi="Times New Roman" w:cs="Times New Roman"/>
        </w:rPr>
        <w:t xml:space="preserve"> and economic environment is stable and conducive to </w:t>
      </w:r>
      <w:r>
        <w:rPr>
          <w:rFonts w:ascii="Times New Roman" w:hAnsi="Times New Roman" w:cs="Times New Roman"/>
        </w:rPr>
        <w:t xml:space="preserve">both public and private </w:t>
      </w:r>
      <w:r w:rsidRPr="006C4276">
        <w:rPr>
          <w:rFonts w:ascii="Times New Roman" w:hAnsi="Times New Roman" w:cs="Times New Roman"/>
        </w:rPr>
        <w:t>investment</w:t>
      </w:r>
      <w:r>
        <w:rPr>
          <w:rFonts w:ascii="Times New Roman" w:hAnsi="Times New Roman" w:cs="Times New Roman"/>
        </w:rPr>
        <w:t xml:space="preserve">, </w:t>
      </w:r>
      <w:r w:rsidRPr="006C4276">
        <w:rPr>
          <w:rFonts w:ascii="Times New Roman" w:hAnsi="Times New Roman" w:cs="Times New Roman"/>
        </w:rPr>
        <w:t>restoring macro and fiscal sustainability represent</w:t>
      </w:r>
      <w:r>
        <w:rPr>
          <w:rFonts w:ascii="Times New Roman" w:hAnsi="Times New Roman" w:cs="Times New Roman"/>
        </w:rPr>
        <w:t>s</w:t>
      </w:r>
      <w:r w:rsidRPr="006C4276">
        <w:rPr>
          <w:rFonts w:ascii="Times New Roman" w:hAnsi="Times New Roman" w:cs="Times New Roman"/>
        </w:rPr>
        <w:t xml:space="preserve"> an essential precondition for fostering economic growth. Addressing fiscal risks and ensuring fiscal space for growth enhancing investments are therefore first order polic</w:t>
      </w:r>
      <w:r>
        <w:rPr>
          <w:rFonts w:ascii="Times New Roman" w:hAnsi="Times New Roman" w:cs="Times New Roman"/>
        </w:rPr>
        <w:t>y priorit</w:t>
      </w:r>
      <w:r w:rsidRPr="006C4276">
        <w:rPr>
          <w:rFonts w:ascii="Times New Roman" w:hAnsi="Times New Roman" w:cs="Times New Roman"/>
        </w:rPr>
        <w:t>ies</w:t>
      </w:r>
      <w:r>
        <w:rPr>
          <w:rFonts w:ascii="Times New Roman" w:hAnsi="Times New Roman" w:cs="Times New Roman"/>
        </w:rPr>
        <w:t>.</w:t>
      </w:r>
      <w:r>
        <w:rPr>
          <w:rStyle w:val="FootnoteReference"/>
          <w:rFonts w:ascii="Times New Roman" w:hAnsi="Times New Roman" w:cs="Times New Roman"/>
        </w:rPr>
        <w:footnoteReference w:id="4"/>
      </w:r>
      <w:r w:rsidRPr="006C4276">
        <w:rPr>
          <w:rFonts w:ascii="Times New Roman" w:hAnsi="Times New Roman" w:cs="Times New Roman"/>
        </w:rPr>
        <w:t xml:space="preserve"> Among the critical (though not exhaustive) policy actions needed to </w:t>
      </w:r>
      <w:r>
        <w:rPr>
          <w:rFonts w:ascii="Times New Roman" w:hAnsi="Times New Roman" w:cs="Times New Roman"/>
        </w:rPr>
        <w:t xml:space="preserve">maintain </w:t>
      </w:r>
      <w:r w:rsidRPr="006C4276">
        <w:rPr>
          <w:rFonts w:ascii="Times New Roman" w:hAnsi="Times New Roman" w:cs="Times New Roman"/>
        </w:rPr>
        <w:t>debt sustainability and assure macro and financial sector stability are</w:t>
      </w:r>
      <w:r>
        <w:rPr>
          <w:rFonts w:ascii="Times New Roman" w:hAnsi="Times New Roman" w:cs="Times New Roman"/>
        </w:rPr>
        <w:t>:</w:t>
      </w:r>
      <w:r w:rsidRPr="006C4276">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consolidating </w:t>
      </w:r>
      <w:r w:rsidRPr="006C4276">
        <w:rPr>
          <w:rFonts w:ascii="Times New Roman" w:hAnsi="Times New Roman" w:cs="Times New Roman"/>
        </w:rPr>
        <w:t xml:space="preserve">fiscal support to public enterprises, </w:t>
      </w:r>
      <w:r>
        <w:rPr>
          <w:rFonts w:ascii="Times New Roman" w:hAnsi="Times New Roman" w:cs="Times New Roman"/>
        </w:rPr>
        <w:t xml:space="preserve">while </w:t>
      </w:r>
      <w:r w:rsidRPr="006C4276">
        <w:rPr>
          <w:rFonts w:ascii="Times New Roman" w:hAnsi="Times New Roman" w:cs="Times New Roman"/>
        </w:rPr>
        <w:t xml:space="preserve">reinforcing </w:t>
      </w:r>
      <w:r>
        <w:rPr>
          <w:rFonts w:ascii="Times New Roman" w:hAnsi="Times New Roman" w:cs="Times New Roman"/>
        </w:rPr>
        <w:t xml:space="preserve">their </w:t>
      </w:r>
      <w:r w:rsidRPr="006C4276">
        <w:rPr>
          <w:rFonts w:ascii="Times New Roman" w:hAnsi="Times New Roman" w:cs="Times New Roman"/>
        </w:rPr>
        <w:t>governance</w:t>
      </w:r>
      <w:r>
        <w:rPr>
          <w:rFonts w:ascii="Times New Roman" w:hAnsi="Times New Roman" w:cs="Times New Roman"/>
        </w:rPr>
        <w:t xml:space="preserve">; ii) containing the increase in the </w:t>
      </w:r>
      <w:r w:rsidRPr="006C4276">
        <w:rPr>
          <w:rFonts w:ascii="Times New Roman" w:hAnsi="Times New Roman" w:cs="Times New Roman"/>
        </w:rPr>
        <w:t>public sector wage bill</w:t>
      </w:r>
      <w:r>
        <w:rPr>
          <w:rFonts w:ascii="Times New Roman" w:hAnsi="Times New Roman" w:cs="Times New Roman"/>
        </w:rPr>
        <w:t xml:space="preserve">; iii) controlling the expanding imbalance of social security schemes; and iv) rationalizing consumption subsidies and social assistance programs so that </w:t>
      </w:r>
      <w:r w:rsidRPr="006C4276">
        <w:rPr>
          <w:rFonts w:ascii="Times New Roman" w:hAnsi="Times New Roman" w:cs="Times New Roman"/>
        </w:rPr>
        <w:t>the composition of expenditure</w:t>
      </w:r>
      <w:r>
        <w:rPr>
          <w:rFonts w:ascii="Times New Roman" w:hAnsi="Times New Roman" w:cs="Times New Roman"/>
        </w:rPr>
        <w:t xml:space="preserve"> can be rebalanced toward</w:t>
      </w:r>
      <w:r w:rsidRPr="006C4276">
        <w:rPr>
          <w:rFonts w:ascii="Times New Roman" w:hAnsi="Times New Roman" w:cs="Times New Roman"/>
        </w:rPr>
        <w:t xml:space="preserve"> productive and growth-enhancing investment a</w:t>
      </w:r>
      <w:r>
        <w:rPr>
          <w:rFonts w:ascii="Times New Roman" w:hAnsi="Times New Roman" w:cs="Times New Roman"/>
        </w:rPr>
        <w:t>s well as key social services, notably in disadvantaged regions</w:t>
      </w:r>
      <w:r w:rsidRPr="006C4276">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w:t>
      </w:r>
      <w:r w:rsidRPr="006C4276">
        <w:rPr>
          <w:rFonts w:ascii="Times New Roman" w:hAnsi="Times New Roman" w:cs="Times New Roman"/>
        </w:rPr>
        <w:t>Steps have been taken to initiate fiscal consolidation and the recent governments have demonstrated commitment to structural reforms to halt the rise in public debt.</w:t>
      </w:r>
      <w:r w:rsidRPr="006C4276">
        <w:rPr>
          <w:rFonts w:ascii="Times New Roman" w:hAnsi="Times New Roman" w:cs="Times New Roman"/>
          <w:b/>
        </w:rPr>
        <w:t xml:space="preserve"> </w:t>
      </w:r>
      <w:r w:rsidRPr="006C4276">
        <w:rPr>
          <w:rFonts w:ascii="Times New Roman" w:hAnsi="Times New Roman" w:cs="Times New Roman"/>
        </w:rPr>
        <w:t>The first reform</w:t>
      </w:r>
      <w:r>
        <w:rPr>
          <w:rFonts w:ascii="Times New Roman" w:hAnsi="Times New Roman" w:cs="Times New Roman"/>
        </w:rPr>
        <w:t>s</w:t>
      </w:r>
      <w:r w:rsidRPr="006C4276">
        <w:rPr>
          <w:rFonts w:ascii="Times New Roman" w:hAnsi="Times New Roman" w:cs="Times New Roman"/>
        </w:rPr>
        <w:t xml:space="preserve"> of the fuel subsidies system have been </w:t>
      </w:r>
      <w:r>
        <w:rPr>
          <w:rFonts w:ascii="Times New Roman" w:hAnsi="Times New Roman" w:cs="Times New Roman"/>
        </w:rPr>
        <w:t>implemented,</w:t>
      </w:r>
      <w:r>
        <w:rPr>
          <w:rStyle w:val="FootnoteReference"/>
          <w:rFonts w:ascii="Times New Roman" w:hAnsi="Times New Roman" w:cs="Times New Roman"/>
        </w:rPr>
        <w:footnoteReference w:id="6"/>
      </w:r>
      <w:r w:rsidRPr="006C4276">
        <w:rPr>
          <w:rFonts w:ascii="Times New Roman" w:hAnsi="Times New Roman" w:cs="Times New Roman"/>
        </w:rPr>
        <w:t xml:space="preserve"> and the </w:t>
      </w:r>
      <w:r>
        <w:rPr>
          <w:rFonts w:ascii="Times New Roman" w:hAnsi="Times New Roman" w:cs="Times New Roman"/>
        </w:rPr>
        <w:t xml:space="preserve">acceleration in the </w:t>
      </w:r>
      <w:r w:rsidRPr="006C4276">
        <w:rPr>
          <w:rFonts w:ascii="Times New Roman" w:hAnsi="Times New Roman" w:cs="Times New Roman"/>
        </w:rPr>
        <w:t xml:space="preserve">restructuring </w:t>
      </w:r>
      <w:r>
        <w:rPr>
          <w:rFonts w:ascii="Times New Roman" w:hAnsi="Times New Roman" w:cs="Times New Roman"/>
        </w:rPr>
        <w:t xml:space="preserve">of public enterprises, foremost the </w:t>
      </w:r>
      <w:r w:rsidRPr="006C4276">
        <w:rPr>
          <w:rFonts w:ascii="Times New Roman" w:hAnsi="Times New Roman" w:cs="Times New Roman"/>
        </w:rPr>
        <w:t>major public banks</w:t>
      </w:r>
      <w:r>
        <w:rPr>
          <w:rFonts w:ascii="Times New Roman" w:hAnsi="Times New Roman" w:cs="Times New Roman"/>
        </w:rPr>
        <w:t>,</w:t>
      </w:r>
      <w:r w:rsidRPr="006C4276">
        <w:rPr>
          <w:rFonts w:ascii="Times New Roman" w:hAnsi="Times New Roman" w:cs="Times New Roman"/>
        </w:rPr>
        <w:t xml:space="preserve"> are encouraging steps in the right direction. Initiatives have been taken also to improve budget composition by increasing capital spending—particularly in poorer regions—</w:t>
      </w:r>
      <w:r>
        <w:rPr>
          <w:rFonts w:ascii="Times New Roman" w:hAnsi="Times New Roman" w:cs="Times New Roman"/>
        </w:rPr>
        <w:t xml:space="preserve">while measures are considered to increase the </w:t>
      </w:r>
      <w:r w:rsidRPr="006C4276">
        <w:rPr>
          <w:rFonts w:ascii="Times New Roman" w:hAnsi="Times New Roman" w:cs="Times New Roman"/>
        </w:rPr>
        <w:t>absorption capacity</w:t>
      </w:r>
      <w:r>
        <w:rPr>
          <w:rFonts w:ascii="Times New Roman" w:hAnsi="Times New Roman" w:cs="Times New Roman"/>
        </w:rPr>
        <w:t xml:space="preserve"> for public investment programs, notably by increasing the efficiency of public procurement practices</w:t>
      </w:r>
      <w:r w:rsidRPr="006C4276">
        <w:rPr>
          <w:rFonts w:ascii="Times New Roman" w:hAnsi="Times New Roman" w:cs="Times New Roman"/>
        </w:rPr>
        <w:t xml:space="preserve">. </w:t>
      </w:r>
    </w:p>
    <w:p w:rsidR="004526F9" w:rsidRPr="00DC7CC9" w:rsidRDefault="004526F9" w:rsidP="004526F9">
      <w:pPr>
        <w:pStyle w:val="ListParagraph"/>
        <w:rPr>
          <w:rFonts w:ascii="Times New Roman" w:hAnsi="Times New Roman" w:cs="Times New Roman"/>
        </w:rPr>
      </w:pPr>
    </w:p>
    <w:p w:rsidR="004526F9" w:rsidRPr="00601B3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DC7CC9">
        <w:rPr>
          <w:rFonts w:ascii="Times New Roman" w:hAnsi="Times New Roman" w:cs="Times New Roman"/>
          <w:b/>
        </w:rPr>
        <w:t xml:space="preserve">Progress </w:t>
      </w:r>
      <w:r>
        <w:rPr>
          <w:rFonts w:ascii="Times New Roman" w:hAnsi="Times New Roman" w:cs="Times New Roman"/>
          <w:b/>
        </w:rPr>
        <w:t>toward</w:t>
      </w:r>
      <w:r w:rsidRPr="00DC7CC9">
        <w:rPr>
          <w:rFonts w:ascii="Times New Roman" w:hAnsi="Times New Roman" w:cs="Times New Roman"/>
          <w:b/>
        </w:rPr>
        <w:t xml:space="preserve"> increased and shared prosperity will depend on whether or not specific groups can participate in, and benefit from, economic growth.</w:t>
      </w:r>
      <w:r w:rsidRPr="00601B3F">
        <w:rPr>
          <w:rFonts w:ascii="Times New Roman" w:hAnsi="Times New Roman" w:cs="Times New Roman"/>
        </w:rPr>
        <w:t xml:space="preserve"> The extent of real and perceived inclusion can have significant impacts on overall sustainability. Strengthening the social pact </w:t>
      </w:r>
      <w:r>
        <w:rPr>
          <w:rFonts w:ascii="Times New Roman" w:hAnsi="Times New Roman" w:cs="Times New Roman"/>
        </w:rPr>
        <w:t>that</w:t>
      </w:r>
      <w:r w:rsidRPr="00601B3F">
        <w:rPr>
          <w:rFonts w:ascii="Times New Roman" w:hAnsi="Times New Roman" w:cs="Times New Roman"/>
        </w:rPr>
        <w:t xml:space="preserve"> weaves together all Tunisians, a primary challenge of the post-transition period, will be therefore </w:t>
      </w:r>
      <w:r>
        <w:rPr>
          <w:rFonts w:ascii="Times New Roman" w:hAnsi="Times New Roman" w:cs="Times New Roman"/>
        </w:rPr>
        <w:t xml:space="preserve">another </w:t>
      </w:r>
      <w:r w:rsidRPr="00601B3F">
        <w:rPr>
          <w:rFonts w:ascii="Times New Roman" w:hAnsi="Times New Roman" w:cs="Times New Roman"/>
        </w:rPr>
        <w:t>crucial</w:t>
      </w:r>
      <w:r>
        <w:rPr>
          <w:rFonts w:ascii="Times New Roman" w:hAnsi="Times New Roman" w:cs="Times New Roman"/>
        </w:rPr>
        <w:t xml:space="preserve"> prerequisite and condition</w:t>
      </w:r>
      <w:r w:rsidRPr="00601B3F">
        <w:rPr>
          <w:rFonts w:ascii="Times New Roman" w:hAnsi="Times New Roman" w:cs="Times New Roman"/>
        </w:rPr>
        <w:t xml:space="preserve"> </w:t>
      </w:r>
      <w:r>
        <w:rPr>
          <w:rFonts w:ascii="Times New Roman" w:hAnsi="Times New Roman" w:cs="Times New Roman"/>
        </w:rPr>
        <w:t>to the long-term sustainability of</w:t>
      </w:r>
      <w:r w:rsidRPr="00601B3F">
        <w:rPr>
          <w:rFonts w:ascii="Times New Roman" w:hAnsi="Times New Roman" w:cs="Times New Roman"/>
        </w:rPr>
        <w:t xml:space="preserve"> </w:t>
      </w:r>
      <w:r>
        <w:rPr>
          <w:rFonts w:ascii="Times New Roman" w:hAnsi="Times New Roman" w:cs="Times New Roman"/>
        </w:rPr>
        <w:t>the desired</w:t>
      </w:r>
      <w:r w:rsidRPr="00601B3F">
        <w:rPr>
          <w:rFonts w:ascii="Times New Roman" w:hAnsi="Times New Roman" w:cs="Times New Roman"/>
        </w:rPr>
        <w:t xml:space="preserve"> inclusive economic model. </w:t>
      </w:r>
    </w:p>
    <w:p w:rsidR="004526F9" w:rsidRPr="007B00A5"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Pr="00F8197B"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Pr>
          <w:rFonts w:ascii="Times New Roman" w:hAnsi="Times New Roman" w:cs="Times New Roman"/>
          <w:b/>
        </w:rPr>
        <w:t>This</w:t>
      </w:r>
      <w:r w:rsidRPr="00DF1CA0">
        <w:rPr>
          <w:rFonts w:ascii="Times New Roman" w:hAnsi="Times New Roman" w:cs="Times New Roman"/>
          <w:b/>
        </w:rPr>
        <w:t xml:space="preserve"> Systematic Country Diagnostic </w:t>
      </w:r>
      <w:r>
        <w:rPr>
          <w:rFonts w:ascii="Times New Roman" w:hAnsi="Times New Roman" w:cs="Times New Roman"/>
          <w:b/>
        </w:rPr>
        <w:t>identifies</w:t>
      </w:r>
      <w:r w:rsidRPr="00DF1CA0">
        <w:rPr>
          <w:rFonts w:ascii="Times New Roman" w:hAnsi="Times New Roman" w:cs="Times New Roman"/>
          <w:b/>
        </w:rPr>
        <w:t xml:space="preserve"> some key </w:t>
      </w:r>
      <w:r>
        <w:rPr>
          <w:rFonts w:ascii="Times New Roman" w:hAnsi="Times New Roman" w:cs="Times New Roman"/>
          <w:b/>
        </w:rPr>
        <w:t xml:space="preserve">areas where opportunities that </w:t>
      </w:r>
      <w:r w:rsidRPr="00DF1CA0">
        <w:rPr>
          <w:rFonts w:ascii="Times New Roman" w:hAnsi="Times New Roman" w:cs="Times New Roman"/>
          <w:b/>
        </w:rPr>
        <w:t xml:space="preserve">build on </w:t>
      </w:r>
      <w:r w:rsidRPr="00000951">
        <w:rPr>
          <w:rFonts w:ascii="Times New Roman" w:hAnsi="Times New Roman" w:cs="Times New Roman"/>
          <w:b/>
        </w:rPr>
        <w:t>Tunisia’s multiple strengths</w:t>
      </w:r>
      <w:r>
        <w:rPr>
          <w:rFonts w:ascii="Times New Roman" w:hAnsi="Times New Roman" w:cs="Times New Roman"/>
          <w:b/>
        </w:rPr>
        <w:t xml:space="preserve"> arise,</w:t>
      </w:r>
      <w:r w:rsidRPr="00DF1CA0">
        <w:rPr>
          <w:rFonts w:ascii="Times New Roman" w:hAnsi="Times New Roman" w:cs="Times New Roman"/>
          <w:b/>
        </w:rPr>
        <w:t xml:space="preserve"> which</w:t>
      </w:r>
      <w:r>
        <w:rPr>
          <w:rFonts w:ascii="Times New Roman" w:hAnsi="Times New Roman" w:cs="Times New Roman"/>
          <w:b/>
        </w:rPr>
        <w:t xml:space="preserve"> </w:t>
      </w:r>
      <w:r w:rsidRPr="00000951">
        <w:rPr>
          <w:rFonts w:ascii="Times New Roman" w:hAnsi="Times New Roman" w:cs="Times New Roman"/>
          <w:b/>
        </w:rPr>
        <w:t>could help guide the future development policies of the country</w:t>
      </w:r>
      <w:r w:rsidRPr="00000951">
        <w:rPr>
          <w:rFonts w:ascii="Times New Roman" w:hAnsi="Times New Roman" w:cs="Times New Roman"/>
        </w:rPr>
        <w:t>.</w:t>
      </w:r>
      <w:r>
        <w:rPr>
          <w:rFonts w:ascii="Times New Roman" w:hAnsi="Times New Roman" w:cs="Times New Roman"/>
        </w:rPr>
        <w:t xml:space="preserve"> </w:t>
      </w:r>
      <w:r w:rsidRPr="00000951">
        <w:rPr>
          <w:rFonts w:ascii="Times New Roman" w:hAnsi="Times New Roman" w:cs="Times New Roman"/>
        </w:rPr>
        <w:t xml:space="preserve">To seize these opportunities a (non-exhaustive) platform for reforms actions to address some of the most binding constraints to growth and inclusion is presented in this diagnostic, based on the strength and depth of their potential development impact in the medium term, </w:t>
      </w:r>
      <w:r w:rsidRPr="00000951">
        <w:rPr>
          <w:rFonts w:ascii="Times New Roman" w:hAnsi="Times New Roman"/>
        </w:rPr>
        <w:t>but with a view also to the long term development goals of the country</w:t>
      </w:r>
      <w:r>
        <w:rPr>
          <w:rFonts w:ascii="Times New Roman" w:hAnsi="Times New Roman"/>
        </w:rPr>
        <w:t>.</w:t>
      </w:r>
      <w:r w:rsidRPr="00000951">
        <w:rPr>
          <w:rFonts w:ascii="Times New Roman" w:hAnsi="Times New Roman" w:cs="Times New Roman"/>
        </w:rPr>
        <w:t xml:space="preserve"> The feasibility of implementation as well as the conditions in place for the sustainability of reforms are taken into account</w:t>
      </w:r>
      <w:r>
        <w:rPr>
          <w:rFonts w:ascii="Times New Roman" w:hAnsi="Times New Roman" w:cs="Times New Roman"/>
        </w:rPr>
        <w:t>—</w:t>
      </w:r>
      <w:r w:rsidRPr="00000951">
        <w:rPr>
          <w:rFonts w:ascii="Times New Roman" w:hAnsi="Times New Roman" w:cs="Times New Roman"/>
        </w:rPr>
        <w:t>together with the results of the technical analysis</w:t>
      </w:r>
      <w:r>
        <w:rPr>
          <w:rFonts w:ascii="Times New Roman" w:hAnsi="Times New Roman" w:cs="Times New Roman"/>
        </w:rPr>
        <w:t>—</w:t>
      </w:r>
      <w:r w:rsidRPr="00000951">
        <w:rPr>
          <w:rFonts w:ascii="Times New Roman" w:hAnsi="Times New Roman" w:cs="Times New Roman"/>
        </w:rPr>
        <w:t>in the identification and selection of areas</w:t>
      </w:r>
      <w:r>
        <w:rPr>
          <w:rFonts w:ascii="Times New Roman" w:hAnsi="Times New Roman" w:cs="Times New Roman"/>
        </w:rPr>
        <w:t xml:space="preserve"> where opportunities for advancement toward the goals are most compelling. The next sections summarize the main areas where the SCD sees </w:t>
      </w:r>
      <w:r>
        <w:rPr>
          <w:rFonts w:ascii="Times New Roman" w:hAnsi="Times New Roman" w:cs="Times New Roman"/>
        </w:rPr>
        <w:lastRenderedPageBreak/>
        <w:t>Tunisia’s strengths and opportunities, and where ongoing reforms or dialogue on reforms would sustain progress toward more inclusive growth and a new development model.</w:t>
      </w:r>
    </w:p>
    <w:p w:rsidR="004526F9" w:rsidRPr="00052EEA" w:rsidRDefault="004526F9" w:rsidP="004526F9">
      <w:pPr>
        <w:spacing w:after="0" w:line="240" w:lineRule="auto"/>
        <w:ind w:firstLine="720"/>
        <w:contextualSpacing/>
        <w:jc w:val="both"/>
        <w:rPr>
          <w:rFonts w:ascii="Times New Roman" w:hAnsi="Times New Roman" w:cs="Times New Roman"/>
        </w:rPr>
      </w:pPr>
    </w:p>
    <w:p w:rsidR="004526F9" w:rsidRPr="004C12AF" w:rsidRDefault="004526F9" w:rsidP="009B3880">
      <w:pPr>
        <w:pStyle w:val="Heading3"/>
        <w:numPr>
          <w:ilvl w:val="0"/>
          <w:numId w:val="9"/>
        </w:numPr>
      </w:pPr>
      <w:r w:rsidRPr="004C12AF">
        <w:t xml:space="preserve">Sustain reforms of the business environment to </w:t>
      </w:r>
      <w:r>
        <w:t xml:space="preserve">stimulate productive investment and </w:t>
      </w:r>
      <w:r w:rsidRPr="004C12AF">
        <w:t>prevent elite capture in the future</w:t>
      </w:r>
    </w:p>
    <w:p w:rsidR="004526F9" w:rsidRPr="006322EC"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b/>
          <w:highlight w:val="yellow"/>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BD52C2">
        <w:rPr>
          <w:rFonts w:ascii="Times New Roman" w:hAnsi="Times New Roman" w:cs="Times New Roman"/>
          <w:b/>
        </w:rPr>
        <w:t xml:space="preserve">Reforms </w:t>
      </w:r>
      <w:r>
        <w:rPr>
          <w:rFonts w:ascii="Times New Roman" w:hAnsi="Times New Roman" w:cs="Times New Roman"/>
          <w:b/>
        </w:rPr>
        <w:t>in</w:t>
      </w:r>
      <w:r w:rsidRPr="00BD52C2">
        <w:rPr>
          <w:rFonts w:ascii="Times New Roman" w:hAnsi="Times New Roman" w:cs="Times New Roman"/>
          <w:b/>
        </w:rPr>
        <w:t xml:space="preserve"> the business environment have great potential for growth,</w:t>
      </w:r>
      <w:r>
        <w:rPr>
          <w:rFonts w:ascii="Times New Roman" w:hAnsi="Times New Roman" w:cs="Times New Roman"/>
          <w:b/>
        </w:rPr>
        <w:t xml:space="preserve"> </w:t>
      </w:r>
      <w:r w:rsidRPr="00BD52C2">
        <w:rPr>
          <w:rFonts w:ascii="Times New Roman" w:hAnsi="Times New Roman" w:cs="Times New Roman"/>
          <w:b/>
        </w:rPr>
        <w:t>job creation</w:t>
      </w:r>
      <w:r>
        <w:rPr>
          <w:rFonts w:ascii="Times New Roman" w:hAnsi="Times New Roman" w:cs="Times New Roman"/>
          <w:b/>
        </w:rPr>
        <w:t>,</w:t>
      </w:r>
      <w:r w:rsidRPr="00BD52C2">
        <w:rPr>
          <w:rFonts w:ascii="Times New Roman" w:hAnsi="Times New Roman" w:cs="Times New Roman"/>
          <w:b/>
        </w:rPr>
        <w:t xml:space="preserve"> and ultimately inclusion</w:t>
      </w:r>
      <w:r w:rsidRPr="00BD52C2">
        <w:rPr>
          <w:rFonts w:ascii="Times New Roman" w:hAnsi="Times New Roman" w:cs="Times New Roman"/>
        </w:rPr>
        <w:t>. Removing the barriers to entry and competition would substantially improve the performance of the Tunisian economy and boost the abil</w:t>
      </w:r>
      <w:r w:rsidRPr="001E0EB5">
        <w:rPr>
          <w:rFonts w:ascii="Times New Roman" w:hAnsi="Times New Roman" w:cs="Times New Roman"/>
        </w:rPr>
        <w:t xml:space="preserve">ity of the most productive firms to grow and </w:t>
      </w:r>
      <w:r w:rsidRPr="002D6284">
        <w:rPr>
          <w:rFonts w:ascii="Times New Roman" w:hAnsi="Times New Roman" w:cs="Times New Roman"/>
        </w:rPr>
        <w:t>create good quality jobs</w:t>
      </w:r>
      <w:r>
        <w:rPr>
          <w:rFonts w:ascii="Times New Roman" w:hAnsi="Times New Roman" w:cs="Times New Roman"/>
        </w:rPr>
        <w:t>, thereby contributing to the establishment of a genuine “economic democracy” where entrepreneurs access resources on the basis of the merits of their projects</w:t>
      </w:r>
      <w:r w:rsidRPr="002D6284">
        <w:rPr>
          <w:rFonts w:ascii="Times New Roman" w:hAnsi="Times New Roman" w:cs="Times New Roman"/>
        </w:rPr>
        <w:t>.</w:t>
      </w:r>
      <w:r>
        <w:rPr>
          <w:rFonts w:ascii="Times New Roman" w:hAnsi="Times New Roman" w:cs="Times New Roman"/>
        </w:rPr>
        <w:t xml:space="preserve"> </w:t>
      </w:r>
      <w:r w:rsidRPr="002D6284">
        <w:rPr>
          <w:rFonts w:ascii="Times New Roman" w:hAnsi="Times New Roman" w:cs="Times New Roman"/>
        </w:rPr>
        <w:t xml:space="preserve">This is the time where the socio-political space for this type of reform is open and therefore the opportunity to advance is the greatest. The removal of barriers to market competition </w:t>
      </w:r>
      <w:r>
        <w:rPr>
          <w:rFonts w:ascii="Times New Roman" w:hAnsi="Times New Roman" w:cs="Times New Roman"/>
        </w:rPr>
        <w:t xml:space="preserve">would </w:t>
      </w:r>
      <w:r w:rsidRPr="002D6284">
        <w:rPr>
          <w:rFonts w:ascii="Times New Roman" w:hAnsi="Times New Roman" w:cs="Times New Roman"/>
        </w:rPr>
        <w:t>open up investment in these sectors</w:t>
      </w:r>
      <w:r>
        <w:rPr>
          <w:rFonts w:ascii="Times New Roman" w:hAnsi="Times New Roman" w:cs="Times New Roman"/>
        </w:rPr>
        <w:t>, and</w:t>
      </w:r>
      <w:r w:rsidRPr="002D6284">
        <w:rPr>
          <w:rFonts w:ascii="Times New Roman" w:hAnsi="Times New Roman" w:cs="Times New Roman"/>
        </w:rPr>
        <w:t xml:space="preserve"> should start with backbone services sectors</w:t>
      </w:r>
      <w:r>
        <w:rPr>
          <w:rFonts w:ascii="Times New Roman" w:hAnsi="Times New Roman" w:cs="Times New Roman"/>
        </w:rPr>
        <w:t>, which were</w:t>
      </w:r>
      <w:r w:rsidRPr="002D6284">
        <w:rPr>
          <w:rFonts w:ascii="Times New Roman" w:hAnsi="Times New Roman" w:cs="Times New Roman"/>
        </w:rPr>
        <w:t xml:space="preserve"> the most shielded from competition in the past</w:t>
      </w:r>
      <w:r>
        <w:rPr>
          <w:rFonts w:ascii="Times New Roman" w:hAnsi="Times New Roman" w:cs="Times New Roman"/>
        </w:rPr>
        <w:t>,</w:t>
      </w:r>
      <w:r w:rsidRPr="002D6284">
        <w:rPr>
          <w:rFonts w:ascii="Times New Roman" w:hAnsi="Times New Roman" w:cs="Times New Roman"/>
        </w:rPr>
        <w:t xml:space="preserve"> and sectors with high potential for jobs creation, notably commerce and telecommunications.</w:t>
      </w:r>
      <w:r w:rsidRPr="00EC7C98">
        <w:t xml:space="preserve"> </w:t>
      </w:r>
      <w:r w:rsidRPr="00BD52C2">
        <w:rPr>
          <w:rFonts w:ascii="Times New Roman" w:hAnsi="Times New Roman" w:cs="Times New Roman"/>
        </w:rPr>
        <w:t xml:space="preserve">The gains from </w:t>
      </w:r>
      <w:r>
        <w:rPr>
          <w:rFonts w:ascii="Times New Roman" w:hAnsi="Times New Roman" w:cs="Times New Roman"/>
        </w:rPr>
        <w:t>heightened</w:t>
      </w:r>
      <w:r w:rsidRPr="00BD52C2">
        <w:rPr>
          <w:rFonts w:ascii="Times New Roman" w:hAnsi="Times New Roman" w:cs="Times New Roman"/>
        </w:rPr>
        <w:t xml:space="preserve"> competition in Tunisia would be considerable and result in faster jobs creation. There is ample empirical evidence internationally on the substantial benefits of allowing greater competition. The empirical analysis presented in the 201</w:t>
      </w:r>
      <w:r w:rsidRPr="003F688A">
        <w:rPr>
          <w:rFonts w:ascii="Times New Roman" w:hAnsi="Times New Roman" w:cs="Times New Roman"/>
        </w:rPr>
        <w:t>4 Tunisia DPR fo</w:t>
      </w:r>
      <w:r w:rsidRPr="001E0EB5">
        <w:rPr>
          <w:rFonts w:ascii="Times New Roman" w:hAnsi="Times New Roman" w:cs="Times New Roman"/>
        </w:rPr>
        <w:t>und that a five</w:t>
      </w:r>
      <w:r>
        <w:rPr>
          <w:rFonts w:ascii="Times New Roman" w:hAnsi="Times New Roman" w:cs="Times New Roman"/>
        </w:rPr>
        <w:t xml:space="preserve"> </w:t>
      </w:r>
      <w:r w:rsidRPr="001E0EB5">
        <w:rPr>
          <w:rFonts w:ascii="Times New Roman" w:hAnsi="Times New Roman" w:cs="Times New Roman"/>
        </w:rPr>
        <w:t>percentage point decrease in firms’ profit margins (driven by greater competition) would translate into additional GDP growth of around 4.5 percent per year and approximately 50,000 new jobs per year</w:t>
      </w:r>
      <w:r>
        <w:rPr>
          <w:rFonts w:ascii="Times New Roman" w:hAnsi="Times New Roman" w:cs="Times New Roman"/>
        </w:rPr>
        <w:t>.</w:t>
      </w:r>
      <w:r w:rsidRPr="002D6284">
        <w:rPr>
          <w:rFonts w:ascii="Times New Roman" w:hAnsi="Times New Roman" w:cs="Times New Roman"/>
        </w:rPr>
        <w:t xml:space="preserve"> Since the 2011 revolution, important measures have been taken to enhance competition and promote a level playing field. </w:t>
      </w:r>
      <w:r>
        <w:rPr>
          <w:rFonts w:ascii="Times New Roman" w:hAnsi="Times New Roman" w:cs="Times New Roman"/>
        </w:rPr>
        <w:t>For instance, a</w:t>
      </w:r>
      <w:r w:rsidRPr="002D6284">
        <w:rPr>
          <w:rFonts w:ascii="Times New Roman" w:hAnsi="Times New Roman" w:cs="Times New Roman"/>
        </w:rPr>
        <w:t xml:space="preserve"> draft competition law that reinforces the role and independence of the Competition Council is under consideration and is expected to be adopted in 2015. The Council can play a key role in stimulating competitive forces to the benefit of consumers, including lifting barriers that may be preventing retail and wholesale prices from falling </w:t>
      </w:r>
      <w:r>
        <w:rPr>
          <w:rFonts w:ascii="Times New Roman" w:hAnsi="Times New Roman" w:cs="Times New Roman"/>
        </w:rPr>
        <w:t>toward</w:t>
      </w:r>
      <w:r w:rsidRPr="002D6284">
        <w:rPr>
          <w:rFonts w:ascii="Times New Roman" w:hAnsi="Times New Roman" w:cs="Times New Roman"/>
        </w:rPr>
        <w:t xml:space="preserve"> their competitive levels.</w:t>
      </w:r>
      <w:r>
        <w:rPr>
          <w:rFonts w:ascii="Times New Roman" w:hAnsi="Times New Roman" w:cs="Times New Roman"/>
        </w:rPr>
        <w:t xml:space="preserve"> Similarly, key reforms are being undertaken at the sector level, for instance in telecommunications, to allow for more service providers to be able to enter the markets. Other important areas of reform to improve the investment climate include tax reform, the alleviation of the regulatory burden, the fight against corruption and the acceleration of public infrastructure programs, notably through the increased recourse to public-private partnerships (PPPs) in infrastructure</w:t>
      </w:r>
      <w:r w:rsidRPr="002D6284">
        <w:rPr>
          <w:rFonts w:ascii="Times New Roman" w:hAnsi="Times New Roman" w:cs="Times New Roman"/>
        </w:rPr>
        <w:t xml:space="preserve">. </w:t>
      </w:r>
    </w:p>
    <w:p w:rsidR="004526F9"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B45B22">
        <w:rPr>
          <w:rFonts w:ascii="Times New Roman" w:hAnsi="Times New Roman" w:cs="Times New Roman"/>
          <w:b/>
        </w:rPr>
        <w:t>An open and engaged public-private dialogue should accompany deeper regulatory reforms</w:t>
      </w:r>
      <w:r>
        <w:rPr>
          <w:rFonts w:ascii="Times New Roman" w:hAnsi="Times New Roman" w:cs="Times New Roman"/>
        </w:rPr>
        <w:t>. However, m</w:t>
      </w:r>
      <w:r w:rsidRPr="002D6284">
        <w:rPr>
          <w:rFonts w:ascii="Times New Roman" w:hAnsi="Times New Roman" w:cs="Times New Roman"/>
        </w:rPr>
        <w:t>any of the regulations and practices that create market power rents still exist and many companies continue to benefit from them. A drastic simplification of the pool of regulations hindering private sector activity with a view to reducing the room for discretion in their implementation is critical for a private sector-driven growth and ultimately inclusion.</w:t>
      </w:r>
      <w:r w:rsidRPr="002D6284">
        <w:t xml:space="preserve"> </w:t>
      </w:r>
      <w:r w:rsidRPr="00BD52C2">
        <w:rPr>
          <w:rFonts w:ascii="Times New Roman" w:hAnsi="Times New Roman" w:cs="Times New Roman"/>
        </w:rPr>
        <w:t xml:space="preserve">Moving forward, it will be crucial to build on </w:t>
      </w:r>
      <w:r>
        <w:rPr>
          <w:rFonts w:ascii="Times New Roman" w:hAnsi="Times New Roman" w:cs="Times New Roman"/>
        </w:rPr>
        <w:t>a strong</w:t>
      </w:r>
      <w:r w:rsidRPr="00BD52C2">
        <w:rPr>
          <w:rFonts w:ascii="Times New Roman" w:hAnsi="Times New Roman" w:cs="Times New Roman"/>
        </w:rPr>
        <w:t xml:space="preserve"> public-private sector dialogue on regulatory reform and develop tools to</w:t>
      </w:r>
      <w:r>
        <w:rPr>
          <w:rFonts w:ascii="Times New Roman" w:hAnsi="Times New Roman" w:cs="Times New Roman"/>
        </w:rPr>
        <w:t xml:space="preserve"> </w:t>
      </w:r>
      <w:r w:rsidRPr="00BD52C2">
        <w:rPr>
          <w:rFonts w:ascii="Times New Roman" w:hAnsi="Times New Roman" w:cs="Times New Roman"/>
        </w:rPr>
        <w:t xml:space="preserve">ensure that existing and new regulations are fit for </w:t>
      </w:r>
      <w:r>
        <w:rPr>
          <w:rFonts w:ascii="Times New Roman" w:hAnsi="Times New Roman" w:cs="Times New Roman"/>
        </w:rPr>
        <w:t xml:space="preserve">the </w:t>
      </w:r>
      <w:r w:rsidRPr="00BD52C2">
        <w:rPr>
          <w:rFonts w:ascii="Times New Roman" w:hAnsi="Times New Roman" w:cs="Times New Roman"/>
        </w:rPr>
        <w:t>purpose and serve the public and private interests</w:t>
      </w:r>
      <w:r>
        <w:rPr>
          <w:rFonts w:ascii="Times New Roman" w:hAnsi="Times New Roman" w:cs="Times New Roman"/>
        </w:rPr>
        <w:t>.</w:t>
      </w:r>
      <w:r>
        <w:rPr>
          <w:rStyle w:val="FootnoteReference"/>
          <w:rFonts w:ascii="Times New Roman" w:hAnsi="Times New Roman" w:cs="Times New Roman"/>
        </w:rPr>
        <w:footnoteReference w:id="7"/>
      </w:r>
      <w:r w:rsidRPr="00BD52C2">
        <w:rPr>
          <w:rFonts w:ascii="Times New Roman" w:hAnsi="Times New Roman" w:cs="Times New Roman"/>
        </w:rPr>
        <w:t xml:space="preserve"> </w:t>
      </w:r>
    </w:p>
    <w:p w:rsidR="004526F9" w:rsidRPr="001E0EB5"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
    <w:p w:rsidR="004526F9" w:rsidRPr="00BD52C2" w:rsidRDefault="004526F9" w:rsidP="009B3880">
      <w:pPr>
        <w:pStyle w:val="Heading3"/>
        <w:numPr>
          <w:ilvl w:val="0"/>
          <w:numId w:val="9"/>
        </w:numPr>
      </w:pPr>
      <w:r w:rsidRPr="00CE27EA">
        <w:t>Develop and implement a national financial sector strategy to increase economic opportunities</w:t>
      </w:r>
    </w:p>
    <w:p w:rsidR="004526F9"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851BC6">
        <w:rPr>
          <w:rFonts w:ascii="Times New Roman" w:hAnsi="Times New Roman" w:cs="Times New Roman"/>
          <w:b/>
        </w:rPr>
        <w:t>Improv</w:t>
      </w:r>
      <w:r>
        <w:rPr>
          <w:rFonts w:ascii="Times New Roman" w:hAnsi="Times New Roman" w:cs="Times New Roman"/>
          <w:b/>
        </w:rPr>
        <w:t xml:space="preserve">ing </w:t>
      </w:r>
      <w:r w:rsidRPr="00851BC6">
        <w:rPr>
          <w:rFonts w:ascii="Times New Roman" w:hAnsi="Times New Roman" w:cs="Times New Roman"/>
          <w:b/>
        </w:rPr>
        <w:t xml:space="preserve">access to </w:t>
      </w:r>
      <w:r>
        <w:rPr>
          <w:rFonts w:ascii="Times New Roman" w:hAnsi="Times New Roman" w:cs="Times New Roman"/>
          <w:b/>
        </w:rPr>
        <w:t>financial services for both ho</w:t>
      </w:r>
      <w:r w:rsidRPr="00851BC6">
        <w:rPr>
          <w:rFonts w:ascii="Times New Roman" w:hAnsi="Times New Roman" w:cs="Times New Roman"/>
          <w:b/>
        </w:rPr>
        <w:t>useholds</w:t>
      </w:r>
      <w:r>
        <w:rPr>
          <w:rFonts w:ascii="Times New Roman" w:hAnsi="Times New Roman" w:cs="Times New Roman"/>
          <w:b/>
        </w:rPr>
        <w:t xml:space="preserve"> and firms </w:t>
      </w:r>
      <w:r w:rsidRPr="00851BC6">
        <w:rPr>
          <w:rFonts w:ascii="Times New Roman" w:hAnsi="Times New Roman" w:cs="Times New Roman"/>
          <w:b/>
        </w:rPr>
        <w:t>is cr</w:t>
      </w:r>
      <w:r>
        <w:rPr>
          <w:rFonts w:ascii="Times New Roman" w:hAnsi="Times New Roman" w:cs="Times New Roman"/>
          <w:b/>
        </w:rPr>
        <w:t xml:space="preserve">itical </w:t>
      </w:r>
      <w:r w:rsidRPr="00851BC6">
        <w:rPr>
          <w:rFonts w:ascii="Times New Roman" w:hAnsi="Times New Roman" w:cs="Times New Roman"/>
          <w:b/>
        </w:rPr>
        <w:t xml:space="preserve">to </w:t>
      </w:r>
      <w:r>
        <w:rPr>
          <w:rFonts w:ascii="Times New Roman" w:hAnsi="Times New Roman" w:cs="Times New Roman"/>
          <w:b/>
        </w:rPr>
        <w:t xml:space="preserve">catalyzing </w:t>
      </w:r>
      <w:r w:rsidRPr="00851BC6">
        <w:rPr>
          <w:rFonts w:ascii="Times New Roman" w:hAnsi="Times New Roman" w:cs="Times New Roman"/>
          <w:b/>
        </w:rPr>
        <w:t>private sector development</w:t>
      </w:r>
      <w:r>
        <w:rPr>
          <w:rFonts w:ascii="Times New Roman" w:hAnsi="Times New Roman" w:cs="Times New Roman"/>
          <w:b/>
        </w:rPr>
        <w:t xml:space="preserve">, improving access to essential services </w:t>
      </w:r>
      <w:r w:rsidRPr="00851BC6">
        <w:rPr>
          <w:rFonts w:ascii="Times New Roman" w:hAnsi="Times New Roman" w:cs="Times New Roman"/>
          <w:b/>
        </w:rPr>
        <w:t>increas</w:t>
      </w:r>
      <w:r>
        <w:rPr>
          <w:rFonts w:ascii="Times New Roman" w:hAnsi="Times New Roman" w:cs="Times New Roman"/>
          <w:b/>
        </w:rPr>
        <w:t>ing economic</w:t>
      </w:r>
      <w:r w:rsidRPr="00851BC6">
        <w:rPr>
          <w:rFonts w:ascii="Times New Roman" w:hAnsi="Times New Roman" w:cs="Times New Roman"/>
          <w:b/>
        </w:rPr>
        <w:t xml:space="preserve"> opportunities for the most vulnerable</w:t>
      </w:r>
      <w:r>
        <w:rPr>
          <w:rFonts w:ascii="Times New Roman" w:hAnsi="Times New Roman" w:cs="Times New Roman"/>
        </w:rPr>
        <w:t>.</w:t>
      </w:r>
      <w:r w:rsidRPr="00C62DD7">
        <w:rPr>
          <w:rStyle w:val="FootnoteReference"/>
          <w:rFonts w:ascii="Times New Roman" w:hAnsi="Times New Roman" w:cs="Times New Roman"/>
        </w:rPr>
        <w:footnoteReference w:id="8"/>
      </w:r>
      <w:r>
        <w:rPr>
          <w:rFonts w:ascii="Times New Roman" w:hAnsi="Times New Roman" w:cs="Times New Roman"/>
        </w:rPr>
        <w:t xml:space="preserve"> Strengthening access to credit for firms, </w:t>
      </w:r>
      <w:r w:rsidRPr="00EC7C98">
        <w:rPr>
          <w:rFonts w:ascii="Times New Roman" w:hAnsi="Times New Roman" w:cs="Times New Roman"/>
        </w:rPr>
        <w:t>particularly those with no credit history and limited collateral (mostly MSMEs and startups)</w:t>
      </w:r>
      <w:r>
        <w:rPr>
          <w:rFonts w:ascii="Times New Roman" w:hAnsi="Times New Roman" w:cs="Times New Roman"/>
        </w:rPr>
        <w:t xml:space="preserve">, </w:t>
      </w:r>
      <w:r w:rsidRPr="00EC7C98">
        <w:rPr>
          <w:rFonts w:ascii="Times New Roman" w:hAnsi="Times New Roman" w:cs="Times New Roman"/>
        </w:rPr>
        <w:t>and</w:t>
      </w:r>
      <w:r>
        <w:rPr>
          <w:rFonts w:ascii="Times New Roman" w:hAnsi="Times New Roman" w:cs="Times New Roman"/>
        </w:rPr>
        <w:t xml:space="preserve"> </w:t>
      </w:r>
      <w:r w:rsidRPr="00EC7C98">
        <w:rPr>
          <w:rFonts w:ascii="Times New Roman" w:hAnsi="Times New Roman" w:cs="Times New Roman"/>
        </w:rPr>
        <w:t xml:space="preserve">developing alternative sources </w:t>
      </w:r>
      <w:r w:rsidRPr="00EC7C98">
        <w:rPr>
          <w:rFonts w:ascii="Times New Roman" w:hAnsi="Times New Roman" w:cs="Times New Roman"/>
        </w:rPr>
        <w:lastRenderedPageBreak/>
        <w:t>of financing</w:t>
      </w:r>
      <w:r>
        <w:rPr>
          <w:rFonts w:ascii="Times New Roman" w:hAnsi="Times New Roman" w:cs="Times New Roman"/>
        </w:rPr>
        <w:t xml:space="preserve">, </w:t>
      </w:r>
      <w:r w:rsidRPr="00EC7C98">
        <w:rPr>
          <w:rFonts w:ascii="Times New Roman" w:hAnsi="Times New Roman" w:cs="Times New Roman"/>
        </w:rPr>
        <w:t>will enable resources to be channeled to the most productive projects</w:t>
      </w:r>
      <w:r>
        <w:rPr>
          <w:rFonts w:ascii="Times New Roman" w:hAnsi="Times New Roman" w:cs="Times New Roman"/>
        </w:rPr>
        <w:t xml:space="preserve"> and allow companies to expand and invest productively</w:t>
      </w:r>
      <w:r w:rsidRPr="00EC7C98">
        <w:rPr>
          <w:rFonts w:ascii="Times New Roman" w:hAnsi="Times New Roman" w:cs="Times New Roman"/>
        </w:rPr>
        <w:t>.</w:t>
      </w:r>
      <w:r>
        <w:rPr>
          <w:rStyle w:val="FootnoteReference"/>
          <w:rFonts w:ascii="Times New Roman" w:hAnsi="Times New Roman" w:cs="Times New Roman"/>
        </w:rPr>
        <w:footnoteReference w:id="9"/>
      </w:r>
      <w:r>
        <w:rPr>
          <w:rFonts w:ascii="Times New Roman" w:hAnsi="Times New Roman" w:cs="Times New Roman"/>
        </w:rPr>
        <w:t xml:space="preserve"> Some programs to improve access to finance for high value added exports have been already implemented, with support of the WBG.</w:t>
      </w:r>
      <w:r>
        <w:rPr>
          <w:rStyle w:val="FootnoteReference"/>
          <w:rFonts w:ascii="Times New Roman" w:hAnsi="Times New Roman" w:cs="Times New Roman"/>
        </w:rPr>
        <w:footnoteReference w:id="10"/>
      </w:r>
      <w:r>
        <w:rPr>
          <w:rFonts w:ascii="Times New Roman" w:hAnsi="Times New Roman" w:cs="Times New Roman"/>
        </w:rPr>
        <w:t xml:space="preserve"> There is indeed opening for additional support and instruments to be tested with a sector-specific focus and with a more inclusive lens (for instance focusing to address regional disparities in access to finance). </w:t>
      </w:r>
      <w:r w:rsidRPr="00EC7C98">
        <w:rPr>
          <w:rFonts w:ascii="Times New Roman" w:hAnsi="Times New Roman" w:cs="Times New Roman"/>
        </w:rPr>
        <w:t xml:space="preserve">To improve the efficiency of the banking system and competition within the sector, </w:t>
      </w:r>
      <w:r>
        <w:rPr>
          <w:rFonts w:ascii="Times New Roman" w:hAnsi="Times New Roman" w:cs="Times New Roman"/>
        </w:rPr>
        <w:t>the most compelling reforms should focus</w:t>
      </w:r>
      <w:r w:rsidRPr="00EC7C98">
        <w:rPr>
          <w:rFonts w:ascii="Times New Roman" w:hAnsi="Times New Roman" w:cs="Times New Roman"/>
        </w:rPr>
        <w:t xml:space="preserve"> </w:t>
      </w:r>
      <w:r>
        <w:rPr>
          <w:rFonts w:ascii="Times New Roman" w:hAnsi="Times New Roman" w:cs="Times New Roman"/>
        </w:rPr>
        <w:t>on the</w:t>
      </w:r>
      <w:r w:rsidRPr="00EC7C98">
        <w:rPr>
          <w:rFonts w:ascii="Times New Roman" w:hAnsi="Times New Roman" w:cs="Times New Roman"/>
        </w:rPr>
        <w:t xml:space="preserve"> restructuring</w:t>
      </w:r>
      <w:r>
        <w:rPr>
          <w:rFonts w:ascii="Times New Roman" w:hAnsi="Times New Roman" w:cs="Times New Roman"/>
        </w:rPr>
        <w:t xml:space="preserve"> </w:t>
      </w:r>
      <w:r w:rsidRPr="00EC7C98">
        <w:rPr>
          <w:rFonts w:ascii="Times New Roman" w:hAnsi="Times New Roman" w:cs="Times New Roman"/>
        </w:rPr>
        <w:t>state owned banks (SOBs)</w:t>
      </w:r>
      <w:r>
        <w:rPr>
          <w:rFonts w:ascii="Times New Roman" w:hAnsi="Times New Roman" w:cs="Times New Roman"/>
        </w:rPr>
        <w:t xml:space="preserve">, </w:t>
      </w:r>
      <w:r w:rsidRPr="00EC7C98">
        <w:rPr>
          <w:rFonts w:ascii="Times New Roman" w:hAnsi="Times New Roman" w:cs="Times New Roman"/>
        </w:rPr>
        <w:t>strictly enforcing bank regulation</w:t>
      </w:r>
      <w:r>
        <w:rPr>
          <w:rFonts w:ascii="Times New Roman" w:hAnsi="Times New Roman" w:cs="Times New Roman"/>
        </w:rPr>
        <w:t>s</w:t>
      </w:r>
      <w:r w:rsidRPr="00EC7C98">
        <w:rPr>
          <w:rFonts w:ascii="Times New Roman" w:hAnsi="Times New Roman" w:cs="Times New Roman"/>
        </w:rPr>
        <w:t xml:space="preserve">, </w:t>
      </w:r>
      <w:r>
        <w:rPr>
          <w:rFonts w:ascii="Times New Roman" w:hAnsi="Times New Roman" w:cs="Times New Roman"/>
        </w:rPr>
        <w:t xml:space="preserve">and </w:t>
      </w:r>
      <w:r w:rsidRPr="00EC7C98">
        <w:rPr>
          <w:rFonts w:ascii="Times New Roman" w:hAnsi="Times New Roman" w:cs="Times New Roman"/>
        </w:rPr>
        <w:t>revising</w:t>
      </w:r>
      <w:r>
        <w:rPr>
          <w:rFonts w:ascii="Times New Roman" w:hAnsi="Times New Roman" w:cs="Times New Roman"/>
        </w:rPr>
        <w:t xml:space="preserve"> </w:t>
      </w:r>
      <w:r w:rsidRPr="00EC7C98">
        <w:rPr>
          <w:rFonts w:ascii="Times New Roman" w:hAnsi="Times New Roman" w:cs="Times New Roman"/>
        </w:rPr>
        <w:t>procedures to deal with banks in financial difficulty.</w:t>
      </w:r>
      <w:r w:rsidRPr="00E072F3">
        <w:rPr>
          <w:rFonts w:ascii="Times New Roman" w:hAnsi="Times New Roman" w:cs="Times New Roman"/>
        </w:rPr>
        <w:t xml:space="preserve"> At the household level, increasing financial inclusion (access to and usage of formal financial services </w:t>
      </w:r>
      <w:r>
        <w:rPr>
          <w:rFonts w:ascii="Times New Roman" w:hAnsi="Times New Roman" w:cs="Times New Roman"/>
        </w:rPr>
        <w:t>such as</w:t>
      </w:r>
      <w:r w:rsidRPr="00E072F3">
        <w:rPr>
          <w:rFonts w:ascii="Times New Roman" w:hAnsi="Times New Roman" w:cs="Times New Roman"/>
        </w:rPr>
        <w:t xml:space="preserve"> accounts, consumer and housing finance, </w:t>
      </w:r>
      <w:r>
        <w:rPr>
          <w:rFonts w:ascii="Times New Roman" w:hAnsi="Times New Roman" w:cs="Times New Roman"/>
        </w:rPr>
        <w:t xml:space="preserve">and </w:t>
      </w:r>
      <w:r w:rsidRPr="00E072F3">
        <w:rPr>
          <w:rFonts w:ascii="Times New Roman" w:hAnsi="Times New Roman" w:cs="Times New Roman"/>
        </w:rPr>
        <w:t>insurance) is critical to support access to basic services (housing, education</w:t>
      </w:r>
      <w:r>
        <w:rPr>
          <w:rFonts w:ascii="Times New Roman" w:hAnsi="Times New Roman" w:cs="Times New Roman"/>
        </w:rPr>
        <w:t>,</w:t>
      </w:r>
      <w:r w:rsidRPr="00E072F3">
        <w:rPr>
          <w:rFonts w:ascii="Times New Roman" w:hAnsi="Times New Roman" w:cs="Times New Roman"/>
        </w:rPr>
        <w:t xml:space="preserve"> etc</w:t>
      </w:r>
      <w:r>
        <w:rPr>
          <w:rFonts w:ascii="Times New Roman" w:hAnsi="Times New Roman" w:cs="Times New Roman"/>
        </w:rPr>
        <w:t>.</w:t>
      </w:r>
      <w:r w:rsidRPr="00E072F3">
        <w:rPr>
          <w:rFonts w:ascii="Times New Roman" w:hAnsi="Times New Roman" w:cs="Times New Roman"/>
        </w:rPr>
        <w:t>), spur income generation and employment as well as help manage economic shocks. Financial inclusion is also positively correlated with financial stability and greater efficiency of financial intermediation, both important pre-requisites for job creation and private sector development. Further reform and expansion of the microfinance sector should be pursued together with the development of innovative financial instruments and approaches to cater the needs for non-salaried and low-income households. The development of a national financial sector strategy</w:t>
      </w:r>
      <w:r>
        <w:rPr>
          <w:rFonts w:ascii="Times New Roman" w:hAnsi="Times New Roman" w:cs="Times New Roman"/>
        </w:rPr>
        <w:t xml:space="preserve"> and its immediate implementation</w:t>
      </w:r>
      <w:r w:rsidRPr="00E072F3">
        <w:rPr>
          <w:rFonts w:ascii="Times New Roman" w:hAnsi="Times New Roman" w:cs="Times New Roman"/>
        </w:rPr>
        <w:t xml:space="preserve"> represents a clear opportunity to </w:t>
      </w:r>
      <w:r>
        <w:rPr>
          <w:rFonts w:ascii="Times New Roman" w:hAnsi="Times New Roman" w:cs="Times New Roman"/>
        </w:rPr>
        <w:t xml:space="preserve">determine </w:t>
      </w:r>
      <w:r w:rsidRPr="00E072F3">
        <w:rPr>
          <w:rFonts w:ascii="Times New Roman" w:hAnsi="Times New Roman" w:cs="Times New Roman"/>
        </w:rPr>
        <w:t xml:space="preserve">a </w:t>
      </w:r>
      <w:r>
        <w:rPr>
          <w:rFonts w:ascii="Times New Roman" w:hAnsi="Times New Roman" w:cs="Times New Roman"/>
        </w:rPr>
        <w:t xml:space="preserve">feasible </w:t>
      </w:r>
      <w:r w:rsidRPr="00E072F3">
        <w:rPr>
          <w:rFonts w:ascii="Times New Roman" w:hAnsi="Times New Roman" w:cs="Times New Roman"/>
        </w:rPr>
        <w:t>road map of actions to achieve both sector development and stability objectives.</w:t>
      </w:r>
    </w:p>
    <w:p w:rsidR="004526F9" w:rsidRPr="00E072F3" w:rsidRDefault="004526F9" w:rsidP="004526F9">
      <w:pPr>
        <w:pStyle w:val="ListParagraph"/>
        <w:overflowPunct w:val="0"/>
        <w:autoSpaceDE w:val="0"/>
        <w:autoSpaceDN w:val="0"/>
        <w:adjustRightInd w:val="0"/>
        <w:spacing w:after="0" w:line="240" w:lineRule="auto"/>
        <w:jc w:val="both"/>
        <w:textAlignment w:val="baseline"/>
        <w:rPr>
          <w:rFonts w:ascii="Times New Roman" w:hAnsi="Times New Roman" w:cs="Times New Roman"/>
        </w:rPr>
      </w:pPr>
    </w:p>
    <w:p w:rsidR="004526F9" w:rsidRPr="00CE27EA" w:rsidRDefault="004526F9" w:rsidP="009B3880">
      <w:pPr>
        <w:pStyle w:val="Heading3"/>
        <w:numPr>
          <w:ilvl w:val="0"/>
          <w:numId w:val="9"/>
        </w:numPr>
      </w:pPr>
      <w:r w:rsidRPr="00CE27EA">
        <w:t xml:space="preserve">Design and implement policies to stimulate growth and job creation in sectors where Tunisia holds a strategic advantage </w:t>
      </w:r>
    </w:p>
    <w:p w:rsidR="004526F9" w:rsidRPr="002754A2"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
    <w:p w:rsidR="004526F9" w:rsidRPr="00B977E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Pr>
          <w:rFonts w:ascii="Times New Roman" w:hAnsi="Times New Roman" w:cs="Times New Roman"/>
          <w:b/>
        </w:rPr>
        <w:t xml:space="preserve">In an effort to modernize past industrial policies, a </w:t>
      </w:r>
      <w:r w:rsidRPr="002C5CE1">
        <w:rPr>
          <w:rFonts w:ascii="Times New Roman" w:hAnsi="Times New Roman" w:cs="Times New Roman"/>
          <w:b/>
        </w:rPr>
        <w:t>new</w:t>
      </w:r>
      <w:r>
        <w:rPr>
          <w:rFonts w:ascii="Times New Roman" w:hAnsi="Times New Roman" w:cs="Times New Roman"/>
          <w:b/>
        </w:rPr>
        <w:t xml:space="preserve"> </w:t>
      </w:r>
      <w:r w:rsidRPr="008B278B">
        <w:rPr>
          <w:rFonts w:ascii="Times New Roman" w:hAnsi="Times New Roman" w:cs="Times New Roman"/>
          <w:b/>
        </w:rPr>
        <w:t xml:space="preserve">type of </w:t>
      </w:r>
      <w:r w:rsidRPr="00CE27EA">
        <w:rPr>
          <w:rFonts w:ascii="Times New Roman" w:hAnsi="Times New Roman" w:cs="Times New Roman"/>
          <w:b/>
        </w:rPr>
        <w:t>sector-focused strategic development policy</w:t>
      </w:r>
      <w:r w:rsidRPr="008B278B">
        <w:rPr>
          <w:rFonts w:ascii="Times New Roman" w:hAnsi="Times New Roman" w:cs="Times New Roman"/>
          <w:b/>
        </w:rPr>
        <w:t xml:space="preserve"> coupled with reforms to incentivize formal employ</w:t>
      </w:r>
      <w:r w:rsidRPr="002C5CE1">
        <w:rPr>
          <w:rFonts w:ascii="Times New Roman" w:hAnsi="Times New Roman" w:cs="Times New Roman"/>
          <w:b/>
        </w:rPr>
        <w:t xml:space="preserve">ment would support the structural transformation of the economy and advance progress </w:t>
      </w:r>
      <w:r>
        <w:rPr>
          <w:rFonts w:ascii="Times New Roman" w:hAnsi="Times New Roman" w:cs="Times New Roman"/>
          <w:b/>
        </w:rPr>
        <w:t>toward</w:t>
      </w:r>
      <w:r w:rsidRPr="002C5CE1">
        <w:rPr>
          <w:rFonts w:ascii="Times New Roman" w:hAnsi="Times New Roman" w:cs="Times New Roman"/>
          <w:b/>
        </w:rPr>
        <w:t xml:space="preserve"> a more inclusive growth.</w:t>
      </w:r>
      <w:r w:rsidRPr="00C62DD7">
        <w:rPr>
          <w:rStyle w:val="FootnoteReference"/>
          <w:rFonts w:ascii="Times New Roman" w:hAnsi="Times New Roman" w:cs="Times New Roman"/>
        </w:rPr>
        <w:footnoteReference w:id="11"/>
      </w:r>
      <w:r w:rsidRPr="002C5CE1">
        <w:rPr>
          <w:rFonts w:ascii="Times New Roman" w:hAnsi="Times New Roman" w:cs="Times New Roman"/>
          <w:b/>
        </w:rPr>
        <w:t xml:space="preserve"> </w:t>
      </w:r>
      <w:r w:rsidRPr="002C5CE1">
        <w:rPr>
          <w:rFonts w:ascii="Times New Roman" w:hAnsi="Times New Roman" w:cs="Times New Roman"/>
        </w:rPr>
        <w:t xml:space="preserve">The government can play an active role in the development of high potential sectors through </w:t>
      </w:r>
      <w:r>
        <w:rPr>
          <w:rFonts w:ascii="Times New Roman" w:hAnsi="Times New Roman" w:cs="Times New Roman"/>
        </w:rPr>
        <w:t xml:space="preserve">enabling the investment climate by correcting sector-specific regulatory and </w:t>
      </w:r>
      <w:r w:rsidRPr="002C5CE1">
        <w:rPr>
          <w:rFonts w:ascii="Times New Roman" w:hAnsi="Times New Roman" w:cs="Times New Roman"/>
        </w:rPr>
        <w:t>coordination failures.</w:t>
      </w:r>
      <w:r w:rsidRPr="002C5CE1">
        <w:rPr>
          <w:rFonts w:ascii="Times New Roman" w:hAnsi="Times New Roman" w:cs="Times New Roman"/>
          <w:b/>
        </w:rPr>
        <w:t xml:space="preserve"> </w:t>
      </w:r>
      <w:r w:rsidRPr="002C5CE1">
        <w:rPr>
          <w:rFonts w:ascii="Times New Roman" w:hAnsi="Times New Roman" w:cs="Times New Roman"/>
        </w:rPr>
        <w:t xml:space="preserve">Policies to improve the overall business environment </w:t>
      </w:r>
      <w:r>
        <w:rPr>
          <w:rFonts w:ascii="Times New Roman" w:hAnsi="Times New Roman" w:cs="Times New Roman"/>
        </w:rPr>
        <w:t>could</w:t>
      </w:r>
      <w:r w:rsidRPr="002C5CE1">
        <w:rPr>
          <w:rFonts w:ascii="Times New Roman" w:hAnsi="Times New Roman" w:cs="Times New Roman"/>
        </w:rPr>
        <w:t xml:space="preserve"> be complemented with targeted interventions aiming to create jobs in specific sector and regions. Indeed, as discussed </w:t>
      </w:r>
      <w:r>
        <w:rPr>
          <w:rFonts w:ascii="Times New Roman" w:hAnsi="Times New Roman" w:cs="Times New Roman"/>
        </w:rPr>
        <w:t>in this diagnostic</w:t>
      </w:r>
      <w:r w:rsidRPr="002C5CE1">
        <w:rPr>
          <w:rFonts w:ascii="Times New Roman" w:hAnsi="Times New Roman" w:cs="Times New Roman"/>
        </w:rPr>
        <w:t xml:space="preserve">, higher investments alone do not necessarily guarantee that the economy will create the jobs needed to improve the opportunities and standards of living of all Tunisians. It is important, therefore, that the government, in close consultation with </w:t>
      </w:r>
      <w:r>
        <w:rPr>
          <w:rFonts w:ascii="Times New Roman" w:hAnsi="Times New Roman" w:cs="Times New Roman"/>
        </w:rPr>
        <w:t>concerned stakeholders (private sector, labor organizations)</w:t>
      </w:r>
      <w:r w:rsidRPr="002C5CE1">
        <w:rPr>
          <w:rFonts w:ascii="Times New Roman" w:hAnsi="Times New Roman" w:cs="Times New Roman"/>
        </w:rPr>
        <w:t xml:space="preserve"> also identifies </w:t>
      </w:r>
      <w:proofErr w:type="spellStart"/>
      <w:r w:rsidRPr="002C5CE1">
        <w:rPr>
          <w:rFonts w:ascii="Times New Roman" w:hAnsi="Times New Roman" w:cs="Times New Roman"/>
        </w:rPr>
        <w:t>sectoral</w:t>
      </w:r>
      <w:proofErr w:type="spellEnd"/>
      <w:r w:rsidRPr="002C5CE1">
        <w:rPr>
          <w:rFonts w:ascii="Times New Roman" w:hAnsi="Times New Roman" w:cs="Times New Roman"/>
        </w:rPr>
        <w:t xml:space="preserve"> policies </w:t>
      </w:r>
      <w:r>
        <w:rPr>
          <w:rFonts w:ascii="Times New Roman" w:hAnsi="Times New Roman" w:cs="Times New Roman"/>
        </w:rPr>
        <w:t xml:space="preserve">geared to stimulate investment and </w:t>
      </w:r>
      <w:r w:rsidRPr="002C5CE1">
        <w:rPr>
          <w:rFonts w:ascii="Times New Roman" w:hAnsi="Times New Roman" w:cs="Times New Roman"/>
        </w:rPr>
        <w:t>employment.</w:t>
      </w:r>
      <w:r>
        <w:rPr>
          <w:rFonts w:ascii="Times New Roman" w:hAnsi="Times New Roman" w:cs="Times New Roman"/>
        </w:rPr>
        <w:t xml:space="preserve"> </w:t>
      </w:r>
      <w:r w:rsidRPr="002C5CE1">
        <w:rPr>
          <w:rFonts w:ascii="Times New Roman" w:hAnsi="Times New Roman" w:cs="Times New Roman"/>
        </w:rPr>
        <w:t>This implies mapping key sub-sectors and value chains within the economy to understand the potential for job creation and the types of bottlenecks and regulatory failures that would need to be removed to achieve it. This mapping would provide information about the types and level of investments that are necessary, the quantity of jobs that can be created, their composition in terms of skills, and their regional distribution</w:t>
      </w:r>
      <w:r>
        <w:rPr>
          <w:rFonts w:ascii="Times New Roman" w:hAnsi="Times New Roman" w:cs="Times New Roman"/>
        </w:rPr>
        <w:t>.</w:t>
      </w:r>
    </w:p>
    <w:p w:rsidR="004526F9" w:rsidRPr="00B977EF" w:rsidRDefault="004526F9" w:rsidP="004526F9">
      <w:pPr>
        <w:overflowPunct w:val="0"/>
        <w:autoSpaceDE w:val="0"/>
        <w:autoSpaceDN w:val="0"/>
        <w:adjustRightInd w:val="0"/>
        <w:spacing w:after="0" w:line="240" w:lineRule="auto"/>
        <w:jc w:val="both"/>
        <w:textAlignment w:val="baseline"/>
        <w:rPr>
          <w:rFonts w:ascii="Times New Roman" w:hAnsi="Times New Roman" w:cs="Times New Roman"/>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B977EF">
        <w:rPr>
          <w:rFonts w:ascii="Times New Roman" w:hAnsi="Times New Roman" w:cs="Times New Roman"/>
          <w:b/>
        </w:rPr>
        <w:t>These policies will also need to be accompanied by reforms to consolidate social insurance regimes and align labor regulations to incentivize formal employment and better protect living standards</w:t>
      </w:r>
      <w:r w:rsidRPr="00B977EF">
        <w:rPr>
          <w:rFonts w:ascii="Times New Roman" w:hAnsi="Times New Roman" w:cs="Times New Roman"/>
        </w:rPr>
        <w:t>.</w:t>
      </w:r>
      <w:r>
        <w:rPr>
          <w:rFonts w:ascii="Times New Roman" w:hAnsi="Times New Roman" w:cs="Times New Roman"/>
        </w:rPr>
        <w:t xml:space="preserve"> </w:t>
      </w:r>
      <w:r w:rsidRPr="00B977EF">
        <w:rPr>
          <w:rFonts w:ascii="Times New Roman" w:hAnsi="Times New Roman" w:cs="Times New Roman"/>
        </w:rPr>
        <w:t>In terms of social insurance, greater harmonization among private and public sector regimes, improving portability</w:t>
      </w:r>
      <w:r>
        <w:rPr>
          <w:rFonts w:ascii="Times New Roman" w:hAnsi="Times New Roman" w:cs="Times New Roman"/>
        </w:rPr>
        <w:t>, enhancing the governance and management of social security schemes,</w:t>
      </w:r>
      <w:r w:rsidRPr="00B977EF">
        <w:rPr>
          <w:rFonts w:ascii="Times New Roman" w:hAnsi="Times New Roman" w:cs="Times New Roman"/>
        </w:rPr>
        <w:t xml:space="preserve"> and aligning financing with benefits more explicitly will help to improve incentives for job creation, </w:t>
      </w:r>
      <w:r w:rsidRPr="00B977EF">
        <w:rPr>
          <w:rFonts w:ascii="Times New Roman" w:hAnsi="Times New Roman" w:cs="Times New Roman"/>
        </w:rPr>
        <w:lastRenderedPageBreak/>
        <w:t>sustainability</w:t>
      </w:r>
      <w:r>
        <w:rPr>
          <w:rFonts w:ascii="Times New Roman" w:hAnsi="Times New Roman" w:cs="Times New Roman"/>
        </w:rPr>
        <w:t>,</w:t>
      </w:r>
      <w:r w:rsidRPr="00B977EF">
        <w:rPr>
          <w:rFonts w:ascii="Times New Roman" w:hAnsi="Times New Roman" w:cs="Times New Roman"/>
        </w:rPr>
        <w:t xml:space="preserve"> and coverage.</w:t>
      </w:r>
      <w:r>
        <w:rPr>
          <w:rFonts w:ascii="Times New Roman" w:hAnsi="Times New Roman" w:cs="Times New Roman"/>
        </w:rPr>
        <w:t xml:space="preserve"> </w:t>
      </w:r>
      <w:r w:rsidRPr="00B977EF">
        <w:rPr>
          <w:rFonts w:ascii="Times New Roman" w:hAnsi="Times New Roman" w:cs="Times New Roman"/>
        </w:rPr>
        <w:t>In terms of labor regulations, curbing the growth of labor costs</w:t>
      </w:r>
      <w:r>
        <w:rPr>
          <w:rFonts w:ascii="Times New Roman" w:hAnsi="Times New Roman" w:cs="Times New Roman"/>
        </w:rPr>
        <w:t>,</w:t>
      </w:r>
      <w:r w:rsidRPr="00B977EF">
        <w:rPr>
          <w:rStyle w:val="FootnoteReference"/>
          <w:rFonts w:ascii="Times New Roman" w:hAnsi="Times New Roman" w:cs="Times New Roman"/>
        </w:rPr>
        <w:footnoteReference w:id="12"/>
      </w:r>
      <w:r w:rsidRPr="00B977EF">
        <w:rPr>
          <w:rFonts w:ascii="Times New Roman" w:hAnsi="Times New Roman" w:cs="Times New Roman"/>
        </w:rPr>
        <w:t xml:space="preserve"> while improving income protection and services to workers would go hand in hand with social insurance reforms.</w:t>
      </w:r>
      <w:r w:rsidRPr="00B977EF">
        <w:t xml:space="preserve"> </w:t>
      </w:r>
      <w:r w:rsidRPr="00B977EF">
        <w:rPr>
          <w:rFonts w:ascii="Times New Roman" w:hAnsi="Times New Roman" w:cs="Times New Roman"/>
        </w:rPr>
        <w:t>Employment protection legislation plays a critical role in shielding workers from the negative consequences of arbitrary actions by employers</w:t>
      </w:r>
      <w:r>
        <w:rPr>
          <w:rFonts w:ascii="Times New Roman" w:hAnsi="Times New Roman" w:cs="Times New Roman"/>
        </w:rPr>
        <w:t>, and</w:t>
      </w:r>
      <w:r w:rsidRPr="00B977EF">
        <w:rPr>
          <w:rFonts w:ascii="Times New Roman" w:hAnsi="Times New Roman" w:cs="Times New Roman"/>
        </w:rPr>
        <w:t xml:space="preserve"> facilitat</w:t>
      </w:r>
      <w:r>
        <w:rPr>
          <w:rFonts w:ascii="Times New Roman" w:hAnsi="Times New Roman" w:cs="Times New Roman"/>
        </w:rPr>
        <w:t>es</w:t>
      </w:r>
      <w:r w:rsidRPr="00B977EF">
        <w:rPr>
          <w:rFonts w:ascii="Times New Roman" w:hAnsi="Times New Roman" w:cs="Times New Roman"/>
        </w:rPr>
        <w:t xml:space="preserve"> industrial stability</w:t>
      </w:r>
      <w:r>
        <w:rPr>
          <w:rFonts w:ascii="Times New Roman" w:hAnsi="Times New Roman" w:cs="Times New Roman"/>
        </w:rPr>
        <w:t xml:space="preserve"> along with</w:t>
      </w:r>
      <w:r w:rsidRPr="00B977EF">
        <w:rPr>
          <w:rFonts w:ascii="Times New Roman" w:hAnsi="Times New Roman" w:cs="Times New Roman"/>
        </w:rPr>
        <w:t xml:space="preserve"> the build-up of firm-specific human capital and innovation. When employment protection and contracting is too rigid, however, firms’ ability to respond quickly to changes in technology or market demand in terms of hiring or retraining is hampered.</w:t>
      </w:r>
      <w:r w:rsidRPr="00B977EF">
        <w:t xml:space="preserve"> </w:t>
      </w:r>
      <w:r w:rsidRPr="00B977EF">
        <w:rPr>
          <w:rFonts w:ascii="Times New Roman" w:hAnsi="Times New Roman" w:cs="Times New Roman"/>
        </w:rPr>
        <w:t>Moving forward, it is important to accompany the targeted investment policies with the flexibility of employment policies</w:t>
      </w:r>
      <w:r>
        <w:rPr>
          <w:rFonts w:ascii="Times New Roman" w:hAnsi="Times New Roman" w:cs="Times New Roman"/>
        </w:rPr>
        <w:t>,</w:t>
      </w:r>
      <w:r w:rsidRPr="00B977EF">
        <w:rPr>
          <w:rFonts w:ascii="Times New Roman" w:hAnsi="Times New Roman" w:cs="Times New Roman"/>
        </w:rPr>
        <w:t xml:space="preserve"> as well as better targeted A</w:t>
      </w:r>
      <w:r>
        <w:rPr>
          <w:rFonts w:ascii="Times New Roman" w:hAnsi="Times New Roman" w:cs="Times New Roman"/>
        </w:rPr>
        <w:t xml:space="preserve">ctive </w:t>
      </w:r>
      <w:r w:rsidRPr="00B977EF">
        <w:rPr>
          <w:rFonts w:ascii="Times New Roman" w:hAnsi="Times New Roman" w:cs="Times New Roman"/>
        </w:rPr>
        <w:t>L</w:t>
      </w:r>
      <w:r>
        <w:rPr>
          <w:rFonts w:ascii="Times New Roman" w:hAnsi="Times New Roman" w:cs="Times New Roman"/>
        </w:rPr>
        <w:t xml:space="preserve">abor </w:t>
      </w:r>
      <w:r w:rsidRPr="00B977EF">
        <w:rPr>
          <w:rFonts w:ascii="Times New Roman" w:hAnsi="Times New Roman" w:cs="Times New Roman"/>
        </w:rPr>
        <w:t>M</w:t>
      </w:r>
      <w:r>
        <w:rPr>
          <w:rFonts w:ascii="Times New Roman" w:hAnsi="Times New Roman" w:cs="Times New Roman"/>
        </w:rPr>
        <w:t xml:space="preserve">arket </w:t>
      </w:r>
      <w:r w:rsidRPr="00B977EF">
        <w:rPr>
          <w:rFonts w:ascii="Times New Roman" w:hAnsi="Times New Roman" w:cs="Times New Roman"/>
        </w:rPr>
        <w:t>P</w:t>
      </w:r>
      <w:r>
        <w:rPr>
          <w:rFonts w:ascii="Times New Roman" w:hAnsi="Times New Roman" w:cs="Times New Roman"/>
        </w:rPr>
        <w:t>olicie</w:t>
      </w:r>
      <w:r w:rsidRPr="00B977EF">
        <w:rPr>
          <w:rFonts w:ascii="Times New Roman" w:hAnsi="Times New Roman" w:cs="Times New Roman"/>
        </w:rPr>
        <w:t>s</w:t>
      </w:r>
      <w:r>
        <w:rPr>
          <w:rFonts w:ascii="Times New Roman" w:hAnsi="Times New Roman" w:cs="Times New Roman"/>
        </w:rPr>
        <w:t xml:space="preserve"> (ALMPs),</w:t>
      </w:r>
      <w:r w:rsidRPr="00B977EF">
        <w:rPr>
          <w:rFonts w:ascii="Times New Roman" w:hAnsi="Times New Roman" w:cs="Times New Roman"/>
        </w:rPr>
        <w:t xml:space="preserve"> that </w:t>
      </w:r>
      <w:r>
        <w:rPr>
          <w:rFonts w:ascii="Times New Roman" w:hAnsi="Times New Roman" w:cs="Times New Roman"/>
        </w:rPr>
        <w:t>are</w:t>
      </w:r>
      <w:r w:rsidRPr="00B977EF">
        <w:rPr>
          <w:rFonts w:ascii="Times New Roman" w:hAnsi="Times New Roman" w:cs="Times New Roman"/>
        </w:rPr>
        <w:t xml:space="preserve"> crucial for efficient job reallocation, greater job creation</w:t>
      </w:r>
      <w:r>
        <w:rPr>
          <w:rFonts w:ascii="Times New Roman" w:hAnsi="Times New Roman" w:cs="Times New Roman"/>
        </w:rPr>
        <w:t>,</w:t>
      </w:r>
      <w:r w:rsidRPr="00B977EF">
        <w:rPr>
          <w:rFonts w:ascii="Times New Roman" w:hAnsi="Times New Roman" w:cs="Times New Roman"/>
        </w:rPr>
        <w:t xml:space="preserve"> and economic growth. Strengthening inclusive social dialogue will help support the development of an integrated social protection and labor system needed to achieve the right balance between flexibility and security. </w:t>
      </w:r>
    </w:p>
    <w:p w:rsidR="004526F9" w:rsidRDefault="004526F9" w:rsidP="004526F9">
      <w:pPr>
        <w:pStyle w:val="ListParagraph"/>
        <w:overflowPunct w:val="0"/>
        <w:autoSpaceDE w:val="0"/>
        <w:autoSpaceDN w:val="0"/>
        <w:adjustRightInd w:val="0"/>
        <w:spacing w:after="0" w:line="240" w:lineRule="auto"/>
        <w:jc w:val="both"/>
        <w:textAlignment w:val="baseline"/>
        <w:rPr>
          <w:rFonts w:ascii="Times New Roman" w:hAnsi="Times New Roman" w:cs="Times New Roman"/>
        </w:rPr>
      </w:pPr>
    </w:p>
    <w:p w:rsidR="004526F9" w:rsidRPr="00B977EF"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b/>
        </w:rPr>
      </w:pPr>
    </w:p>
    <w:p w:rsidR="004526F9" w:rsidRDefault="004526F9" w:rsidP="009B3880">
      <w:pPr>
        <w:pStyle w:val="Heading3"/>
        <w:numPr>
          <w:ilvl w:val="0"/>
          <w:numId w:val="9"/>
        </w:numPr>
      </w:pPr>
      <w:r w:rsidRPr="00CE27EA">
        <w:t>Use the social dialogue to catalyze the adoption and implementation of more effective social assistance policies and that will improve the equity and efficiency of social assistance programs</w:t>
      </w:r>
    </w:p>
    <w:p w:rsidR="004526F9" w:rsidRPr="00CE27EA" w:rsidRDefault="004526F9" w:rsidP="004526F9"/>
    <w:p w:rsidR="004526F9" w:rsidRPr="00B977E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Pr>
          <w:rFonts w:ascii="Times New Roman" w:hAnsi="Times New Roman" w:cs="Times New Roman"/>
          <w:b/>
        </w:rPr>
        <w:t xml:space="preserve">More rational </w:t>
      </w:r>
      <w:r w:rsidRPr="00B977EF">
        <w:rPr>
          <w:rFonts w:ascii="Times New Roman" w:hAnsi="Times New Roman" w:cs="Times New Roman"/>
          <w:b/>
        </w:rPr>
        <w:t>targeting of universal price subsidies and social safety nets will improve equity and fiscal space needed to jump-start graduation programs to productive livelihoods</w:t>
      </w:r>
      <w:r w:rsidRPr="00B977EF">
        <w:rPr>
          <w:rFonts w:ascii="Times New Roman" w:hAnsi="Times New Roman" w:cs="Times New Roman"/>
        </w:rPr>
        <w:t>.</w:t>
      </w:r>
      <w:r w:rsidRPr="00B977EF">
        <w:t xml:space="preserve"> </w:t>
      </w:r>
      <w:r w:rsidRPr="00B977EF">
        <w:rPr>
          <w:rFonts w:ascii="Times New Roman" w:hAnsi="Times New Roman" w:cs="Times New Roman"/>
        </w:rPr>
        <w:t xml:space="preserve">Strengthening Tunisia’s social safety net system is a necessary complement to pro-growth reforms in order to effectively protect the poor and vulnerable from unforeseen shocks, </w:t>
      </w:r>
      <w:r>
        <w:rPr>
          <w:rFonts w:ascii="Times New Roman" w:hAnsi="Times New Roman" w:cs="Times New Roman"/>
        </w:rPr>
        <w:t xml:space="preserve">and </w:t>
      </w:r>
      <w:r w:rsidRPr="00B977EF">
        <w:rPr>
          <w:rFonts w:ascii="Times New Roman" w:hAnsi="Times New Roman" w:cs="Times New Roman"/>
        </w:rPr>
        <w:t xml:space="preserve">maintain purchasing power and living standards. </w:t>
      </w:r>
      <w:r>
        <w:rPr>
          <w:rFonts w:ascii="Times New Roman" w:hAnsi="Times New Roman" w:cs="Times New Roman"/>
        </w:rPr>
        <w:t>As is the case in other countries of the region, t</w:t>
      </w:r>
      <w:r w:rsidRPr="00B977EF">
        <w:rPr>
          <w:rFonts w:ascii="Times New Roman" w:hAnsi="Times New Roman" w:cs="Times New Roman"/>
        </w:rPr>
        <w:t>he current excessive outlay on untargeted subsidies fails to reach the poorest and paradoxically largely benefits the better off, thus exacerbating inequality. Existing cash transfer and health cards programs, which benefit some of the poor, can be better targeted by further developing the recently</w:t>
      </w:r>
      <w:r>
        <w:rPr>
          <w:rFonts w:ascii="Times New Roman" w:hAnsi="Times New Roman" w:cs="Times New Roman"/>
        </w:rPr>
        <w:t xml:space="preserve"> </w:t>
      </w:r>
      <w:r w:rsidRPr="00B977EF">
        <w:rPr>
          <w:rFonts w:ascii="Times New Roman" w:hAnsi="Times New Roman" w:cs="Times New Roman"/>
        </w:rPr>
        <w:t>conceived unique identification system for all social protection and labor programs and introducing exit strategies to ensure equitable access and transition to work for the able-bodied.</w:t>
      </w:r>
      <w:r>
        <w:rPr>
          <w:rFonts w:ascii="Times New Roman" w:hAnsi="Times New Roman" w:cs="Times New Roman"/>
        </w:rPr>
        <w:t xml:space="preserve"> </w:t>
      </w:r>
      <w:r w:rsidRPr="00B977EF">
        <w:rPr>
          <w:rFonts w:ascii="Times New Roman" w:hAnsi="Times New Roman" w:cs="Times New Roman"/>
        </w:rPr>
        <w:t xml:space="preserve">Combined with the fiscal deficits facing the social security system (pensions and health insurance), inadequate coverage and sustainability of social protection programs highlight the need for comprehensive reform beginning in the near term. The new </w:t>
      </w:r>
      <w:r>
        <w:rPr>
          <w:rFonts w:ascii="Times New Roman" w:hAnsi="Times New Roman" w:cs="Times New Roman"/>
        </w:rPr>
        <w:t>“</w:t>
      </w:r>
      <w:r w:rsidRPr="00B977EF">
        <w:rPr>
          <w:rFonts w:ascii="Times New Roman" w:hAnsi="Times New Roman" w:cs="Times New Roman"/>
        </w:rPr>
        <w:t>Social Contract</w:t>
      </w:r>
      <w:r>
        <w:rPr>
          <w:rFonts w:ascii="Times New Roman" w:hAnsi="Times New Roman" w:cs="Times New Roman"/>
        </w:rPr>
        <w:t>”</w:t>
      </w:r>
      <w:r w:rsidRPr="00B977EF">
        <w:rPr>
          <w:rFonts w:ascii="Times New Roman" w:hAnsi="Times New Roman" w:cs="Times New Roman"/>
        </w:rPr>
        <w:t xml:space="preserve"> signed between the Government and social partners in 2013 shows the commitment of the Government to developing the policy dialogue on important reforms such as labor regulations, social security reform, subsidy reform, social assistance reform, reform of employment programs</w:t>
      </w:r>
      <w:r>
        <w:rPr>
          <w:rFonts w:ascii="Times New Roman" w:hAnsi="Times New Roman" w:cs="Times New Roman"/>
        </w:rPr>
        <w:t>,</w:t>
      </w:r>
      <w:r w:rsidRPr="00B977EF">
        <w:rPr>
          <w:rFonts w:ascii="Times New Roman" w:hAnsi="Times New Roman" w:cs="Times New Roman"/>
        </w:rPr>
        <w:t xml:space="preserve"> and investment policies targeting lagging regions. Further steps in this direction</w:t>
      </w:r>
      <w:r>
        <w:rPr>
          <w:rFonts w:ascii="Times New Roman" w:hAnsi="Times New Roman" w:cs="Times New Roman"/>
        </w:rPr>
        <w:t xml:space="preserve"> (as already demonstrated by the progress on the social protection reforms with the development of a unified social registry and a unique identification system with a link to the national identification card)</w:t>
      </w:r>
      <w:r w:rsidRPr="00B977EF">
        <w:rPr>
          <w:rFonts w:ascii="Times New Roman" w:hAnsi="Times New Roman" w:cs="Times New Roman"/>
        </w:rPr>
        <w:t xml:space="preserve"> are needed, and are likely to have a significant impact on growth and inclusion.</w:t>
      </w:r>
    </w:p>
    <w:p w:rsidR="004526F9"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Pr="00B977EF"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Pr="00951B16" w:rsidRDefault="004526F9" w:rsidP="009B3880">
      <w:pPr>
        <w:pStyle w:val="Heading3"/>
        <w:numPr>
          <w:ilvl w:val="0"/>
          <w:numId w:val="9"/>
        </w:numPr>
        <w:rPr>
          <w:iCs/>
        </w:rPr>
      </w:pPr>
      <w:r w:rsidRPr="00951B16">
        <w:t xml:space="preserve">Decentralization as a gateway to increase and equalize opportunities </w:t>
      </w:r>
    </w:p>
    <w:p w:rsidR="004526F9" w:rsidRPr="00B977EF"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Pr="00B977E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B977EF">
        <w:rPr>
          <w:rFonts w:ascii="Times New Roman" w:hAnsi="Times New Roman" w:cs="Times New Roman"/>
          <w:b/>
        </w:rPr>
        <w:t xml:space="preserve">Inclusive growth can be promoted by policies aimed to </w:t>
      </w:r>
      <w:r>
        <w:rPr>
          <w:rFonts w:ascii="Times New Roman" w:hAnsi="Times New Roman" w:cs="Times New Roman"/>
          <w:b/>
        </w:rPr>
        <w:t>at addressing</w:t>
      </w:r>
      <w:r w:rsidRPr="00B977EF">
        <w:rPr>
          <w:rFonts w:ascii="Times New Roman" w:hAnsi="Times New Roman" w:cs="Times New Roman"/>
          <w:b/>
        </w:rPr>
        <w:t xml:space="preserve"> spatial inequalities in access to and quality of basic services, access to good infrastructure, and more generally targeting institutional failures that generate unequal “opportunities</w:t>
      </w:r>
      <w:r>
        <w:rPr>
          <w:rFonts w:ascii="Times New Roman" w:hAnsi="Times New Roman" w:cs="Times New Roman"/>
        </w:rPr>
        <w:t xml:space="preserve">.” </w:t>
      </w:r>
      <w:r w:rsidRPr="00B977EF">
        <w:rPr>
          <w:rFonts w:ascii="Times New Roman" w:hAnsi="Times New Roman" w:cs="Times New Roman"/>
        </w:rPr>
        <w:t>We argue in this diagnostic that equal opportunities are a crucial part of the “shared prosperity” goal</w:t>
      </w:r>
      <w:r w:rsidRPr="00B977EF">
        <w:rPr>
          <w:rFonts w:ascii="Times New Roman" w:hAnsi="Times New Roman" w:cs="Times New Roman"/>
          <w:b/>
        </w:rPr>
        <w:t xml:space="preserve">. </w:t>
      </w:r>
      <w:r w:rsidRPr="00B977EF">
        <w:rPr>
          <w:rFonts w:ascii="Times New Roman" w:hAnsi="Times New Roman" w:cs="Times New Roman"/>
        </w:rPr>
        <w:t>Increasing parity of access to quality basic services (notably water, health</w:t>
      </w:r>
      <w:r>
        <w:rPr>
          <w:rFonts w:ascii="Times New Roman" w:hAnsi="Times New Roman" w:cs="Times New Roman"/>
        </w:rPr>
        <w:t>,</w:t>
      </w:r>
      <w:r w:rsidRPr="00B977EF">
        <w:rPr>
          <w:rFonts w:ascii="Times New Roman" w:hAnsi="Times New Roman" w:cs="Times New Roman"/>
        </w:rPr>
        <w:t xml:space="preserve"> and education services) in lagging areas will improve people’s employment opportunities, their quality of life, and ultimately contribute to long</w:t>
      </w:r>
      <w:r>
        <w:rPr>
          <w:rFonts w:ascii="Times New Roman" w:hAnsi="Times New Roman" w:cs="Times New Roman"/>
        </w:rPr>
        <w:t>-</w:t>
      </w:r>
      <w:r w:rsidRPr="00B977EF">
        <w:rPr>
          <w:rFonts w:ascii="Times New Roman" w:hAnsi="Times New Roman" w:cs="Times New Roman"/>
        </w:rPr>
        <w:t xml:space="preserve">term </w:t>
      </w:r>
      <w:r w:rsidRPr="00B977EF">
        <w:rPr>
          <w:rFonts w:ascii="Times New Roman" w:hAnsi="Times New Roman" w:cs="Times New Roman"/>
        </w:rPr>
        <w:lastRenderedPageBreak/>
        <w:t>economic growth. Improving the governance, institutional</w:t>
      </w:r>
      <w:r>
        <w:rPr>
          <w:rFonts w:ascii="Times New Roman" w:hAnsi="Times New Roman" w:cs="Times New Roman"/>
        </w:rPr>
        <w:t>,</w:t>
      </w:r>
      <w:r w:rsidRPr="00B977EF">
        <w:rPr>
          <w:rFonts w:ascii="Times New Roman" w:hAnsi="Times New Roman" w:cs="Times New Roman"/>
        </w:rPr>
        <w:t xml:space="preserve"> and regulatory framework</w:t>
      </w:r>
      <w:r w:rsidRPr="00B977EF">
        <w:rPr>
          <w:rFonts w:ascii="Times New Roman" w:hAnsi="Times New Roman" w:cs="Times New Roman"/>
          <w:b/>
        </w:rPr>
        <w:t xml:space="preserve"> </w:t>
      </w:r>
      <w:r w:rsidRPr="00B977EF">
        <w:rPr>
          <w:rFonts w:ascii="Times New Roman" w:hAnsi="Times New Roman" w:cs="Times New Roman"/>
        </w:rPr>
        <w:t>to allow both more accountable and efficient services would incentivize investment and allow more viable service provision, hence reducing enduring inequality in access and quality across regions.</w:t>
      </w:r>
    </w:p>
    <w:p w:rsidR="004526F9" w:rsidRDefault="004526F9" w:rsidP="004526F9">
      <w:pPr>
        <w:pStyle w:val="ListParagraph"/>
        <w:overflowPunct w:val="0"/>
        <w:autoSpaceDE w:val="0"/>
        <w:autoSpaceDN w:val="0"/>
        <w:adjustRightInd w:val="0"/>
        <w:spacing w:after="0" w:line="240" w:lineRule="auto"/>
        <w:ind w:left="0"/>
        <w:jc w:val="both"/>
        <w:textAlignment w:val="baseline"/>
        <w:rPr>
          <w:rFonts w:ascii="Times New Roman" w:hAnsi="Times New Roman" w:cs="Times New Roman"/>
        </w:rPr>
      </w:pPr>
    </w:p>
    <w:p w:rsidR="004526F9" w:rsidRPr="00CE38F0"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b/>
        </w:rPr>
      </w:pPr>
      <w:r>
        <w:rPr>
          <w:rFonts w:ascii="Times New Roman" w:hAnsi="Times New Roman" w:cs="Times New Roman"/>
          <w:b/>
        </w:rPr>
        <w:t>T</w:t>
      </w:r>
      <w:r w:rsidRPr="005C3260">
        <w:rPr>
          <w:rFonts w:ascii="Times New Roman" w:hAnsi="Times New Roman" w:cs="Times New Roman"/>
          <w:b/>
        </w:rPr>
        <w:t>he government commitment to decentralization could improve provision of services at local level</w:t>
      </w:r>
      <w:r>
        <w:rPr>
          <w:rFonts w:ascii="Times New Roman" w:hAnsi="Times New Roman" w:cs="Times New Roman"/>
        </w:rPr>
        <w:t>. T</w:t>
      </w:r>
      <w:r w:rsidRPr="006205EB">
        <w:rPr>
          <w:rFonts w:ascii="Times New Roman" w:hAnsi="Times New Roman" w:cs="Times New Roman"/>
        </w:rPr>
        <w:t xml:space="preserve">he new Constitution includes clear commitments to decentralization, local governance, </w:t>
      </w:r>
      <w:r>
        <w:rPr>
          <w:rFonts w:ascii="Times New Roman" w:hAnsi="Times New Roman" w:cs="Times New Roman"/>
        </w:rPr>
        <w:t xml:space="preserve">and </w:t>
      </w:r>
      <w:r w:rsidRPr="006205EB">
        <w:rPr>
          <w:rFonts w:ascii="Times New Roman" w:hAnsi="Times New Roman" w:cs="Times New Roman"/>
        </w:rPr>
        <w:t>empowered local entities. The provisions of the new Constitution create the framework for fully devolved and empowered local government with autonomy for executing their mandates of providing local services according to transparent principles of participation by, and accountability to, their electorate</w:t>
      </w:r>
      <w:r>
        <w:rPr>
          <w:rFonts w:ascii="Times New Roman" w:hAnsi="Times New Roman" w:cs="Times New Roman"/>
        </w:rPr>
        <w:t>.</w:t>
      </w:r>
      <w:r>
        <w:rPr>
          <w:rStyle w:val="FootnoteReference"/>
          <w:rFonts w:ascii="Times New Roman" w:hAnsi="Times New Roman" w:cs="Times New Roman"/>
        </w:rPr>
        <w:footnoteReference w:id="13"/>
      </w:r>
      <w:r w:rsidRPr="006205EB" w:rsidDel="006205EB">
        <w:rPr>
          <w:rFonts w:ascii="Times New Roman" w:hAnsi="Times New Roman" w:cs="Times New Roman"/>
        </w:rPr>
        <w:t xml:space="preserve"> </w:t>
      </w:r>
      <w:r>
        <w:rPr>
          <w:rFonts w:ascii="Times New Roman" w:hAnsi="Times New Roman" w:cs="Times New Roman"/>
        </w:rPr>
        <w:t>The expansion of formal authority of local governments requires reform of the intergovernmental fiscal transfer system and measures to increase the capabilities of local governments including through measurement and public dissemination of local government performance. Over time, these measures are designed to lead to better provision of services and infrastructure and improved governance in part through greater accountability of local governments to their electorate and to the central government</w:t>
      </w:r>
    </w:p>
    <w:p w:rsidR="004526F9" w:rsidRPr="00052EEA" w:rsidRDefault="004526F9" w:rsidP="004526F9">
      <w:pPr>
        <w:spacing w:after="0" w:line="240" w:lineRule="auto"/>
        <w:ind w:firstLine="720"/>
        <w:jc w:val="both"/>
        <w:rPr>
          <w:rFonts w:ascii="Times New Roman" w:hAnsi="Times New Roman" w:cs="Times New Roman"/>
          <w:b/>
        </w:rPr>
      </w:pPr>
      <w:r>
        <w:rPr>
          <w:rFonts w:ascii="Times New Roman" w:hAnsi="Times New Roman" w:cs="Times New Roman"/>
        </w:rPr>
        <w:t xml:space="preserve"> </w:t>
      </w:r>
    </w:p>
    <w:p w:rsidR="004526F9" w:rsidRPr="00000951" w:rsidRDefault="004526F9" w:rsidP="009B3880">
      <w:pPr>
        <w:pStyle w:val="Heading1"/>
        <w:numPr>
          <w:ilvl w:val="0"/>
          <w:numId w:val="6"/>
        </w:numPr>
      </w:pPr>
      <w:bookmarkStart w:id="4" w:name="_Toc292977972"/>
      <w:r>
        <w:t>Sustainability of a long term development trajectory</w:t>
      </w:r>
      <w:bookmarkEnd w:id="4"/>
    </w:p>
    <w:p w:rsidR="004526F9" w:rsidRPr="00CE27EA" w:rsidRDefault="004526F9" w:rsidP="004526F9">
      <w:pPr>
        <w:spacing w:after="0" w:line="240" w:lineRule="auto"/>
        <w:ind w:firstLine="720"/>
        <w:jc w:val="both"/>
        <w:rPr>
          <w:rFonts w:ascii="Times New Roman" w:hAnsi="Times New Roman" w:cs="Times New Roman"/>
          <w:b/>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rPr>
      </w:pPr>
      <w:r w:rsidRPr="00CE27EA">
        <w:rPr>
          <w:rFonts w:ascii="Times New Roman" w:hAnsi="Times New Roman" w:cs="Times New Roman"/>
          <w:b/>
          <w:color w:val="000000"/>
        </w:rPr>
        <w:t>Whether Tunisia can sustain the progress observed in previous years</w:t>
      </w:r>
      <w:r>
        <w:rPr>
          <w:rFonts w:ascii="Times New Roman" w:hAnsi="Times New Roman" w:cs="Times New Roman"/>
          <w:b/>
          <w:color w:val="000000"/>
        </w:rPr>
        <w:t xml:space="preserve"> </w:t>
      </w:r>
      <w:r w:rsidRPr="00CE27EA">
        <w:rPr>
          <w:rFonts w:ascii="Times New Roman" w:hAnsi="Times New Roman" w:cs="Times New Roman"/>
          <w:b/>
          <w:color w:val="000000"/>
        </w:rPr>
        <w:t>while moving on the path of higher and more inclusive growth depends on the extent to which attention is paid to critical socio-political, economic</w:t>
      </w:r>
      <w:r>
        <w:rPr>
          <w:rFonts w:ascii="Times New Roman" w:hAnsi="Times New Roman" w:cs="Times New Roman"/>
          <w:b/>
          <w:color w:val="000000"/>
        </w:rPr>
        <w:t>,</w:t>
      </w:r>
      <w:r w:rsidRPr="00CE27EA">
        <w:rPr>
          <w:rFonts w:ascii="Times New Roman" w:hAnsi="Times New Roman" w:cs="Times New Roman"/>
          <w:b/>
          <w:color w:val="000000"/>
        </w:rPr>
        <w:t xml:space="preserve"> and environmental issues.</w:t>
      </w:r>
      <w:r w:rsidRPr="00CE27EA">
        <w:rPr>
          <w:rFonts w:ascii="Times New Roman" w:hAnsi="Times New Roman" w:cs="Times New Roman"/>
          <w:color w:val="000000"/>
        </w:rPr>
        <w:t xml:space="preserve"> On all these fronts, emerging issues are overlapping with ongoing structural weaknesses and, together, could threaten the effectiveness and impact of identified reforms. There are however also new and unique opportunities to move forward and to strengthen the link between specific policies and a long-term development vision.</w:t>
      </w:r>
      <w:r>
        <w:rPr>
          <w:rFonts w:ascii="Times New Roman" w:hAnsi="Times New Roman" w:cs="Times New Roman"/>
          <w:color w:val="000000"/>
        </w:rPr>
        <w:t xml:space="preserve"> Challenges and opportunities to maintain socio-political and economic stability are presented below.</w:t>
      </w:r>
    </w:p>
    <w:p w:rsidR="004526F9" w:rsidRDefault="004526F9" w:rsidP="004526F9">
      <w:pPr>
        <w:overflowPunct w:val="0"/>
        <w:autoSpaceDE w:val="0"/>
        <w:autoSpaceDN w:val="0"/>
        <w:adjustRightInd w:val="0"/>
        <w:spacing w:after="0" w:line="240" w:lineRule="auto"/>
        <w:jc w:val="both"/>
        <w:textAlignment w:val="baseline"/>
        <w:rPr>
          <w:rFonts w:ascii="Times New Roman" w:hAnsi="Times New Roman" w:cs="Times New Roman"/>
          <w:color w:val="000000"/>
        </w:rPr>
      </w:pPr>
    </w:p>
    <w:p w:rsidR="004526F9" w:rsidRPr="0062757F" w:rsidRDefault="004526F9" w:rsidP="009B3880">
      <w:pPr>
        <w:pStyle w:val="Heading3"/>
        <w:numPr>
          <w:ilvl w:val="0"/>
          <w:numId w:val="15"/>
        </w:numPr>
      </w:pPr>
      <w:r w:rsidRPr="0062757F">
        <w:t>Political and social stability</w:t>
      </w:r>
    </w:p>
    <w:p w:rsidR="004526F9" w:rsidRPr="0062757F" w:rsidRDefault="004526F9" w:rsidP="004526F9">
      <w:pPr>
        <w:spacing w:after="0" w:line="240" w:lineRule="auto"/>
        <w:jc w:val="both"/>
        <w:rPr>
          <w:rFonts w:ascii="Times New Roman" w:hAnsi="Times New Roman" w:cs="Times New Roman"/>
        </w:rPr>
      </w:pPr>
    </w:p>
    <w:p w:rsidR="004526F9" w:rsidRPr="0062757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rPr>
      </w:pPr>
      <w:r w:rsidRPr="0062757F">
        <w:rPr>
          <w:rFonts w:ascii="Times New Roman" w:hAnsi="Times New Roman" w:cs="Times New Roman"/>
          <w:b/>
          <w:color w:val="000000"/>
        </w:rPr>
        <w:t>Tunisia has suffered from increased instability following the revolution.</w:t>
      </w:r>
      <w:r>
        <w:rPr>
          <w:rFonts w:ascii="Times New Roman" w:hAnsi="Times New Roman" w:cs="Times New Roman"/>
          <w:b/>
          <w:color w:val="000000"/>
        </w:rPr>
        <w:t xml:space="preserve"> </w:t>
      </w:r>
      <w:r w:rsidRPr="0062757F">
        <w:rPr>
          <w:rFonts w:ascii="Times New Roman" w:hAnsi="Times New Roman" w:cs="Times New Roman"/>
          <w:color w:val="000000"/>
        </w:rPr>
        <w:t>Besides the generalized spread of violence in everyday life (increase</w:t>
      </w:r>
      <w:r>
        <w:rPr>
          <w:rFonts w:ascii="Times New Roman" w:hAnsi="Times New Roman" w:cs="Times New Roman"/>
          <w:color w:val="000000"/>
        </w:rPr>
        <w:t>s</w:t>
      </w:r>
      <w:r w:rsidRPr="0062757F">
        <w:rPr>
          <w:rFonts w:ascii="Times New Roman" w:hAnsi="Times New Roman" w:cs="Times New Roman"/>
          <w:color w:val="000000"/>
        </w:rPr>
        <w:t xml:space="preserve"> in burglaries, petty crimes</w:t>
      </w:r>
      <w:r>
        <w:rPr>
          <w:rFonts w:ascii="Times New Roman" w:hAnsi="Times New Roman" w:cs="Times New Roman"/>
          <w:color w:val="000000"/>
        </w:rPr>
        <w:t>,</w:t>
      </w:r>
      <w:r w:rsidRPr="0062757F">
        <w:rPr>
          <w:rFonts w:ascii="Times New Roman" w:hAnsi="Times New Roman" w:cs="Times New Roman"/>
          <w:color w:val="000000"/>
        </w:rPr>
        <w:t xml:space="preserve"> and assaults), there has </w:t>
      </w:r>
      <w:r w:rsidRPr="003E6363">
        <w:rPr>
          <w:rFonts w:ascii="Times New Roman" w:hAnsi="Times New Roman" w:cs="Times New Roman"/>
          <w:color w:val="000000"/>
        </w:rPr>
        <w:t>been an upsurge in explicitly socially, politically</w:t>
      </w:r>
      <w:r>
        <w:rPr>
          <w:rFonts w:ascii="Times New Roman" w:hAnsi="Times New Roman" w:cs="Times New Roman"/>
          <w:color w:val="000000"/>
        </w:rPr>
        <w:t>,</w:t>
      </w:r>
      <w:r w:rsidRPr="003E6363">
        <w:rPr>
          <w:rFonts w:ascii="Times New Roman" w:hAnsi="Times New Roman" w:cs="Times New Roman"/>
          <w:color w:val="000000"/>
        </w:rPr>
        <w:t xml:space="preserve"> and religiously motivated violence. The unrest intensified during 2013 with the assassination of two prominent opposition politicians. Although slightly improved in 2014 with installment of the neutral government and the agreement of the new constitution and ultimately with the peaceful conclusions of the elections at end 2014, the situation has suddenly deteriorated. The brutal terrorist attack in March 2015 in the </w:t>
      </w:r>
      <w:proofErr w:type="spellStart"/>
      <w:r w:rsidRPr="003E6363">
        <w:rPr>
          <w:rFonts w:ascii="Times New Roman" w:hAnsi="Times New Roman" w:cs="Times New Roman"/>
          <w:color w:val="000000"/>
        </w:rPr>
        <w:t>Bardo</w:t>
      </w:r>
      <w:proofErr w:type="spellEnd"/>
      <w:r w:rsidRPr="003E6363">
        <w:rPr>
          <w:rFonts w:ascii="Times New Roman" w:hAnsi="Times New Roman" w:cs="Times New Roman"/>
          <w:color w:val="000000"/>
        </w:rPr>
        <w:t xml:space="preserve"> area is yet another blow at an already fragile security situation.</w:t>
      </w:r>
      <w:r>
        <w:rPr>
          <w:rFonts w:ascii="Times New Roman" w:hAnsi="Times New Roman" w:cs="Times New Roman"/>
          <w:color w:val="000000"/>
        </w:rPr>
        <w:t xml:space="preserve"> </w:t>
      </w:r>
      <w:r w:rsidRPr="003E6363">
        <w:rPr>
          <w:rFonts w:ascii="Times New Roman" w:hAnsi="Times New Roman" w:cs="Times New Roman"/>
          <w:color w:val="000000"/>
        </w:rPr>
        <w:t>Issues of reforming the police and security services will be extremely complex and delicate, and the former have occasionally gone on strike to protest efforts to sanction their members. This uncertain</w:t>
      </w:r>
      <w:r w:rsidRPr="0062757F">
        <w:rPr>
          <w:rFonts w:ascii="Times New Roman" w:hAnsi="Times New Roman" w:cs="Times New Roman"/>
          <w:color w:val="000000"/>
        </w:rPr>
        <w:t xml:space="preserve"> security, political</w:t>
      </w:r>
      <w:r>
        <w:rPr>
          <w:rFonts w:ascii="Times New Roman" w:hAnsi="Times New Roman" w:cs="Times New Roman"/>
          <w:color w:val="000000"/>
        </w:rPr>
        <w:t>,</w:t>
      </w:r>
      <w:r w:rsidRPr="0062757F">
        <w:rPr>
          <w:rFonts w:ascii="Times New Roman" w:hAnsi="Times New Roman" w:cs="Times New Roman"/>
          <w:color w:val="000000"/>
        </w:rPr>
        <w:t xml:space="preserve"> and policy environment </w:t>
      </w:r>
      <w:r>
        <w:rPr>
          <w:rFonts w:ascii="Times New Roman" w:hAnsi="Times New Roman" w:cs="Times New Roman"/>
          <w:color w:val="000000"/>
        </w:rPr>
        <w:t xml:space="preserve">has </w:t>
      </w:r>
      <w:r w:rsidRPr="0062757F">
        <w:rPr>
          <w:rFonts w:ascii="Times New Roman" w:hAnsi="Times New Roman" w:cs="Times New Roman"/>
          <w:color w:val="000000"/>
        </w:rPr>
        <w:t xml:space="preserve">significantly </w:t>
      </w:r>
      <w:r>
        <w:rPr>
          <w:rFonts w:ascii="Times New Roman" w:hAnsi="Times New Roman" w:cs="Times New Roman"/>
          <w:color w:val="000000"/>
        </w:rPr>
        <w:t>impacted</w:t>
      </w:r>
      <w:r w:rsidRPr="0062757F">
        <w:rPr>
          <w:rFonts w:ascii="Times New Roman" w:hAnsi="Times New Roman" w:cs="Times New Roman"/>
          <w:color w:val="000000"/>
        </w:rPr>
        <w:t xml:space="preserve"> investor confidence in Tunisia since the revolution, affecting both domestic and foreign investments. Continued uncertainty </w:t>
      </w:r>
      <w:r w:rsidRPr="0062757F">
        <w:rPr>
          <w:rFonts w:ascii="Times New Roman" w:hAnsi="Times New Roman" w:cs="Times New Roman"/>
          <w:color w:val="000000"/>
        </w:rPr>
        <w:lastRenderedPageBreak/>
        <w:t>on these fronts will undoubtedly affect the sustainability of Tunisia attracting necessary private investment into the country over the coming years</w:t>
      </w:r>
      <w:r>
        <w:rPr>
          <w:rFonts w:ascii="Times New Roman" w:hAnsi="Times New Roman" w:cs="Times New Roman"/>
          <w:color w:val="000000"/>
        </w:rPr>
        <w:t>.</w:t>
      </w:r>
    </w:p>
    <w:p w:rsidR="004526F9" w:rsidRPr="0062757F"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color w:val="000000"/>
        </w:rPr>
      </w:pPr>
    </w:p>
    <w:p w:rsidR="004526F9" w:rsidRPr="0062757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rPr>
      </w:pPr>
      <w:r w:rsidRPr="0062757F">
        <w:rPr>
          <w:rFonts w:ascii="Times New Roman" w:hAnsi="Times New Roman" w:cs="Times New Roman"/>
          <w:b/>
          <w:color w:val="000000"/>
        </w:rPr>
        <w:t>The volatile regional environment and the difficult security situation</w:t>
      </w:r>
      <w:r>
        <w:rPr>
          <w:rFonts w:ascii="Times New Roman" w:hAnsi="Times New Roman" w:cs="Times New Roman"/>
          <w:b/>
          <w:color w:val="000000"/>
        </w:rPr>
        <w:t xml:space="preserve">, </w:t>
      </w:r>
      <w:r w:rsidRPr="0062757F">
        <w:rPr>
          <w:rFonts w:ascii="Times New Roman" w:hAnsi="Times New Roman" w:cs="Times New Roman"/>
          <w:b/>
          <w:color w:val="000000"/>
        </w:rPr>
        <w:t>coupled with an economy that is still struggling to take off</w:t>
      </w:r>
      <w:r>
        <w:rPr>
          <w:rFonts w:ascii="Times New Roman" w:hAnsi="Times New Roman" w:cs="Times New Roman"/>
          <w:b/>
          <w:color w:val="000000"/>
        </w:rPr>
        <w:t>,</w:t>
      </w:r>
      <w:r w:rsidRPr="0062757F">
        <w:rPr>
          <w:rFonts w:ascii="Times New Roman" w:hAnsi="Times New Roman" w:cs="Times New Roman"/>
          <w:b/>
          <w:color w:val="000000"/>
        </w:rPr>
        <w:t xml:space="preserve"> might contribute to weaken the initial support of the Tunisia population for democracy. </w:t>
      </w:r>
      <w:r w:rsidRPr="0062757F">
        <w:rPr>
          <w:rFonts w:ascii="Times New Roman" w:hAnsi="Times New Roman" w:cs="Times New Roman"/>
          <w:color w:val="000000"/>
        </w:rPr>
        <w:t>A very recent poll from the Pew Center</w:t>
      </w:r>
      <w:r w:rsidRPr="0062757F">
        <w:rPr>
          <w:rStyle w:val="FootnoteReference"/>
          <w:rFonts w:ascii="Times New Roman" w:hAnsi="Times New Roman" w:cs="Times New Roman"/>
          <w:color w:val="000000"/>
        </w:rPr>
        <w:footnoteReference w:id="14"/>
      </w:r>
      <w:r w:rsidRPr="0062757F">
        <w:rPr>
          <w:rFonts w:ascii="Times New Roman" w:hAnsi="Times New Roman" w:cs="Times New Roman"/>
          <w:color w:val="000000"/>
        </w:rPr>
        <w:t xml:space="preserve"> highlights how today only about half of Tunisians (48 percent) believe that democracy is preferable to any other kind of government</w:t>
      </w:r>
      <w:r>
        <w:rPr>
          <w:rFonts w:ascii="Times New Roman" w:hAnsi="Times New Roman" w:cs="Times New Roman"/>
          <w:color w:val="000000"/>
        </w:rPr>
        <w:t>,</w:t>
      </w:r>
      <w:r w:rsidRPr="0062757F">
        <w:rPr>
          <w:rFonts w:ascii="Times New Roman" w:hAnsi="Times New Roman" w:cs="Times New Roman"/>
          <w:color w:val="000000"/>
        </w:rPr>
        <w:t xml:space="preserve"> against a vast majority (63 percent) in 2012, soon after the revolution.</w:t>
      </w:r>
      <w:r>
        <w:rPr>
          <w:rFonts w:ascii="Times New Roman" w:hAnsi="Times New Roman" w:cs="Times New Roman"/>
          <w:color w:val="000000"/>
        </w:rPr>
        <w:t xml:space="preserve"> </w:t>
      </w:r>
      <w:r w:rsidRPr="0062757F">
        <w:rPr>
          <w:rFonts w:ascii="Times New Roman" w:hAnsi="Times New Roman" w:cs="Times New Roman"/>
          <w:color w:val="000000"/>
        </w:rPr>
        <w:t>About a quarter of the respondents replied that in some circumstances a non-democratic form of government is preferable (26 percent) or that the type of government does not matter (24 percent).</w:t>
      </w:r>
      <w:r w:rsidRPr="0062757F">
        <w:rPr>
          <w:rStyle w:val="FootnoteReference"/>
          <w:rFonts w:ascii="Times New Roman" w:hAnsi="Times New Roman" w:cs="Times New Roman"/>
          <w:color w:val="000000"/>
        </w:rPr>
        <w:footnoteReference w:id="15"/>
      </w:r>
      <w:r w:rsidRPr="0062757F">
        <w:rPr>
          <w:rFonts w:ascii="Times New Roman" w:hAnsi="Times New Roman" w:cs="Times New Roman"/>
          <w:color w:val="000000"/>
        </w:rPr>
        <w:t xml:space="preserve"> According to the poll, a great part of the public’s discontent is explained by the economy. Fully 88 percent describe the country’s economic situation as bad, and 56 percent say it is very bad. But a majority is optimistic that the economy will turn around soon</w:t>
      </w:r>
      <w:r>
        <w:rPr>
          <w:rFonts w:ascii="Times New Roman" w:hAnsi="Times New Roman" w:cs="Times New Roman"/>
          <w:color w:val="000000"/>
        </w:rPr>
        <w:t>:</w:t>
      </w:r>
      <w:r w:rsidRPr="0062757F">
        <w:rPr>
          <w:rFonts w:ascii="Times New Roman" w:hAnsi="Times New Roman" w:cs="Times New Roman"/>
          <w:color w:val="000000"/>
        </w:rPr>
        <w:t xml:space="preserve"> 56 percent expect it to improve in the next year.</w:t>
      </w:r>
      <w:r w:rsidRPr="0062757F">
        <w:rPr>
          <w:rFonts w:ascii="Times New Roman" w:hAnsi="Times New Roman" w:cs="Times New Roman"/>
        </w:rPr>
        <w:t xml:space="preserve"> Instability also plays an important role: w</w:t>
      </w:r>
      <w:r w:rsidRPr="0062757F">
        <w:rPr>
          <w:rFonts w:ascii="Times New Roman" w:hAnsi="Times New Roman" w:cs="Times New Roman"/>
          <w:color w:val="000000"/>
        </w:rPr>
        <w:t xml:space="preserve">hen asked which is more important, having a democratic government with some risk of political instability, or a stable government with a risk it will not be fully democratic, 62 percent of Tunisians say they prefer stability. This has increased dramatically since 2012 when just 38 percent said they would prefer stability </w:t>
      </w:r>
      <w:r>
        <w:rPr>
          <w:rFonts w:ascii="Times New Roman" w:hAnsi="Times New Roman" w:cs="Times New Roman"/>
          <w:color w:val="000000"/>
        </w:rPr>
        <w:t>to</w:t>
      </w:r>
      <w:r w:rsidRPr="0062757F">
        <w:rPr>
          <w:rFonts w:ascii="Times New Roman" w:hAnsi="Times New Roman" w:cs="Times New Roman"/>
          <w:color w:val="000000"/>
        </w:rPr>
        <w:t xml:space="preserve"> democracy. The toned down enthusiasm and engagement is reflected in the voter turnout for the most recent</w:t>
      </w:r>
      <w:r>
        <w:rPr>
          <w:rFonts w:ascii="Times New Roman" w:hAnsi="Times New Roman" w:cs="Times New Roman"/>
          <w:color w:val="000000"/>
        </w:rPr>
        <w:t>—</w:t>
      </w:r>
      <w:r w:rsidRPr="0062757F">
        <w:rPr>
          <w:rFonts w:ascii="Times New Roman" w:hAnsi="Times New Roman" w:cs="Times New Roman"/>
          <w:color w:val="000000"/>
        </w:rPr>
        <w:t>October 26</w:t>
      </w:r>
      <w:r>
        <w:rPr>
          <w:rFonts w:ascii="Times New Roman" w:hAnsi="Times New Roman" w:cs="Times New Roman"/>
          <w:color w:val="000000"/>
        </w:rPr>
        <w:t>, 2014 —</w:t>
      </w:r>
      <w:r w:rsidRPr="0062757F">
        <w:rPr>
          <w:rFonts w:ascii="Times New Roman" w:hAnsi="Times New Roman" w:cs="Times New Roman"/>
          <w:color w:val="000000"/>
        </w:rPr>
        <w:t>parliamentary elections, where participation was estimated at 62 percent of the 5.3 million registered voters. Contrary to some international media, which characterized participation as a success, the local feeling is that it is a disappointing turnout, as the absolute number of voters is below that of 2011. Reports suggest very weak youth participation</w:t>
      </w:r>
      <w:r>
        <w:rPr>
          <w:rFonts w:ascii="Times New Roman" w:hAnsi="Times New Roman" w:cs="Times New Roman"/>
          <w:color w:val="000000"/>
        </w:rPr>
        <w:t>,</w:t>
      </w:r>
      <w:r w:rsidRPr="0062757F">
        <w:rPr>
          <w:rFonts w:ascii="Times New Roman" w:hAnsi="Times New Roman" w:cs="Times New Roman"/>
          <w:color w:val="000000"/>
        </w:rPr>
        <w:t xml:space="preserve"> especially in the inland/lagging regions</w:t>
      </w:r>
      <w:r>
        <w:rPr>
          <w:rFonts w:ascii="Times New Roman" w:hAnsi="Times New Roman" w:cs="Times New Roman"/>
          <w:color w:val="000000"/>
        </w:rPr>
        <w:t>.</w:t>
      </w:r>
    </w:p>
    <w:p w:rsidR="004526F9" w:rsidRPr="0062757F"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color w:val="000000"/>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rPr>
      </w:pPr>
      <w:r w:rsidRPr="0062757F">
        <w:rPr>
          <w:rFonts w:ascii="Times New Roman" w:hAnsi="Times New Roman" w:cs="Times New Roman"/>
          <w:b/>
          <w:color w:val="000000"/>
        </w:rPr>
        <w:t>Despite waning confidence in democracy’s ability to produce results, Tunisians continue to want key features of a democratic system, such as a fair judiciary, competitive elections, the right to protest</w:t>
      </w:r>
      <w:r>
        <w:rPr>
          <w:rFonts w:ascii="Times New Roman" w:hAnsi="Times New Roman" w:cs="Times New Roman"/>
          <w:b/>
          <w:color w:val="000000"/>
        </w:rPr>
        <w:t>,</w:t>
      </w:r>
      <w:r w:rsidRPr="0062757F">
        <w:rPr>
          <w:rFonts w:ascii="Times New Roman" w:hAnsi="Times New Roman" w:cs="Times New Roman"/>
          <w:b/>
          <w:color w:val="000000"/>
        </w:rPr>
        <w:t xml:space="preserve"> and equal rights for men and women.</w:t>
      </w:r>
      <w:r w:rsidRPr="0062757F">
        <w:rPr>
          <w:rFonts w:ascii="Times New Roman" w:hAnsi="Times New Roman" w:cs="Times New Roman"/>
          <w:color w:val="000000"/>
        </w:rPr>
        <w:t xml:space="preserve"> A strong majority</w:t>
      </w:r>
      <w:r>
        <w:rPr>
          <w:rFonts w:ascii="Times New Roman" w:hAnsi="Times New Roman" w:cs="Times New Roman"/>
          <w:color w:val="000000"/>
        </w:rPr>
        <w:t>—</w:t>
      </w:r>
      <w:r w:rsidRPr="0062757F">
        <w:rPr>
          <w:rFonts w:ascii="Times New Roman" w:hAnsi="Times New Roman" w:cs="Times New Roman"/>
          <w:color w:val="000000"/>
        </w:rPr>
        <w:t>94 percent</w:t>
      </w:r>
      <w:r>
        <w:rPr>
          <w:rFonts w:ascii="Times New Roman" w:hAnsi="Times New Roman" w:cs="Times New Roman"/>
          <w:color w:val="000000"/>
        </w:rPr>
        <w:t>—</w:t>
      </w:r>
      <w:r w:rsidRPr="0062757F">
        <w:rPr>
          <w:rFonts w:ascii="Times New Roman" w:hAnsi="Times New Roman" w:cs="Times New Roman"/>
          <w:color w:val="000000"/>
        </w:rPr>
        <w:t>believe that having a judicial system that treats everyone in the same way is very important for the country’s future, up 13 points since last year. Similarly, 92 percent of Tunisians say having honest, regularly held elections in which people have a choice of at least two parties is very important, an increase of 21 percentage points in just a year. Law and order is a priority for most Tunisians</w:t>
      </w:r>
      <w:r>
        <w:rPr>
          <w:rFonts w:ascii="Times New Roman" w:hAnsi="Times New Roman" w:cs="Times New Roman"/>
          <w:color w:val="000000"/>
        </w:rPr>
        <w:t>:</w:t>
      </w:r>
      <w:r w:rsidRPr="0062757F">
        <w:rPr>
          <w:rFonts w:ascii="Times New Roman" w:hAnsi="Times New Roman" w:cs="Times New Roman"/>
          <w:color w:val="000000"/>
        </w:rPr>
        <w:t xml:space="preserve"> 81 percent believe that stability is crucial for Tunisia’s future. More than six-in-ten also think that </w:t>
      </w:r>
      <w:r>
        <w:rPr>
          <w:rFonts w:ascii="Times New Roman" w:hAnsi="Times New Roman" w:cs="Times New Roman"/>
          <w:color w:val="000000"/>
        </w:rPr>
        <w:t xml:space="preserve">certain freedoms are critical for Tunisia’s future: </w:t>
      </w:r>
      <w:r w:rsidRPr="0062757F">
        <w:rPr>
          <w:rFonts w:ascii="Times New Roman" w:hAnsi="Times New Roman" w:cs="Times New Roman"/>
          <w:color w:val="000000"/>
        </w:rPr>
        <w:t>the freedom to peacefully protest (68 percent), equal rights for women (66 percent), freedom to criticize the government (64 percent)</w:t>
      </w:r>
      <w:r>
        <w:rPr>
          <w:rFonts w:ascii="Times New Roman" w:hAnsi="Times New Roman" w:cs="Times New Roman"/>
          <w:color w:val="000000"/>
        </w:rPr>
        <w:t>,</w:t>
      </w:r>
      <w:r w:rsidRPr="0062757F">
        <w:rPr>
          <w:rFonts w:ascii="Times New Roman" w:hAnsi="Times New Roman" w:cs="Times New Roman"/>
          <w:color w:val="000000"/>
        </w:rPr>
        <w:t xml:space="preserve"> and an uncensored media (63 percent).</w:t>
      </w:r>
    </w:p>
    <w:p w:rsidR="004526F9" w:rsidRPr="00CE27EA" w:rsidRDefault="004526F9" w:rsidP="004526F9">
      <w:pPr>
        <w:pStyle w:val="ListParagraph"/>
        <w:rPr>
          <w:rFonts w:ascii="Times New Roman" w:hAnsi="Times New Roman" w:cs="Times New Roman"/>
          <w:color w:val="000000"/>
        </w:rPr>
      </w:pPr>
    </w:p>
    <w:p w:rsidR="004526F9" w:rsidRPr="0062757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rPr>
      </w:pPr>
      <w:r w:rsidRPr="0062757F">
        <w:rPr>
          <w:rFonts w:ascii="Times New Roman" w:hAnsi="Times New Roman" w:cs="Times New Roman"/>
          <w:b/>
        </w:rPr>
        <w:t xml:space="preserve">A whole new approach to </w:t>
      </w:r>
      <w:r>
        <w:rPr>
          <w:rFonts w:ascii="Times New Roman" w:hAnsi="Times New Roman" w:cs="Times New Roman"/>
          <w:b/>
        </w:rPr>
        <w:t>t</w:t>
      </w:r>
      <w:r w:rsidRPr="0062757F">
        <w:rPr>
          <w:rFonts w:ascii="Times New Roman" w:hAnsi="Times New Roman" w:cs="Times New Roman"/>
          <w:b/>
        </w:rPr>
        <w:t xml:space="preserve">ransparency, </w:t>
      </w:r>
      <w:r>
        <w:rPr>
          <w:rFonts w:ascii="Times New Roman" w:hAnsi="Times New Roman" w:cs="Times New Roman"/>
          <w:b/>
        </w:rPr>
        <w:t>m</w:t>
      </w:r>
      <w:r w:rsidRPr="0062757F">
        <w:rPr>
          <w:rFonts w:ascii="Times New Roman" w:hAnsi="Times New Roman" w:cs="Times New Roman"/>
          <w:b/>
        </w:rPr>
        <w:t>edia</w:t>
      </w:r>
      <w:r>
        <w:rPr>
          <w:rFonts w:ascii="Times New Roman" w:hAnsi="Times New Roman" w:cs="Times New Roman"/>
          <w:b/>
        </w:rPr>
        <w:t>,</w:t>
      </w:r>
      <w:r w:rsidRPr="0062757F">
        <w:rPr>
          <w:rFonts w:ascii="Times New Roman" w:hAnsi="Times New Roman" w:cs="Times New Roman"/>
          <w:b/>
        </w:rPr>
        <w:t xml:space="preserve"> and </w:t>
      </w:r>
      <w:r>
        <w:rPr>
          <w:rFonts w:ascii="Times New Roman" w:hAnsi="Times New Roman" w:cs="Times New Roman"/>
          <w:b/>
        </w:rPr>
        <w:t>c</w:t>
      </w:r>
      <w:r w:rsidRPr="0062757F">
        <w:rPr>
          <w:rFonts w:ascii="Times New Roman" w:hAnsi="Times New Roman" w:cs="Times New Roman"/>
          <w:b/>
        </w:rPr>
        <w:t xml:space="preserve">ivil </w:t>
      </w:r>
      <w:r>
        <w:rPr>
          <w:rFonts w:ascii="Times New Roman" w:hAnsi="Times New Roman" w:cs="Times New Roman"/>
          <w:b/>
        </w:rPr>
        <w:t>s</w:t>
      </w:r>
      <w:r w:rsidRPr="0062757F">
        <w:rPr>
          <w:rFonts w:ascii="Times New Roman" w:hAnsi="Times New Roman" w:cs="Times New Roman"/>
          <w:b/>
        </w:rPr>
        <w:t>ociety will facilitate sustainability of reforms by facilitating citizen engagement</w:t>
      </w:r>
      <w:r>
        <w:rPr>
          <w:rFonts w:ascii="Times New Roman" w:hAnsi="Times New Roman" w:cs="Times New Roman"/>
          <w:b/>
        </w:rPr>
        <w:t xml:space="preserve">. </w:t>
      </w:r>
      <w:r w:rsidRPr="0062757F">
        <w:rPr>
          <w:rFonts w:ascii="Times New Roman" w:hAnsi="Times New Roman" w:cs="Times New Roman"/>
          <w:color w:val="000000"/>
        </w:rPr>
        <w:t>The post-revolutionary period has seen an unprecedented expansion of free expression.</w:t>
      </w:r>
      <w:r>
        <w:rPr>
          <w:rFonts w:ascii="Times New Roman" w:hAnsi="Times New Roman" w:cs="Times New Roman"/>
          <w:color w:val="000000"/>
        </w:rPr>
        <w:t xml:space="preserve"> Safeguarding the progress made in protecting fundamental citizens’ rights will be crucial to guarantee social stability, and a continued and informed dialogue between stakeholders and society at large will facilitate the implementation of much needed—although at times unpopular—reforms.</w:t>
      </w:r>
    </w:p>
    <w:p w:rsidR="004526F9" w:rsidRPr="00CE27EA" w:rsidRDefault="004526F9" w:rsidP="004526F9">
      <w:pPr>
        <w:overflowPunct w:val="0"/>
        <w:autoSpaceDE w:val="0"/>
        <w:autoSpaceDN w:val="0"/>
        <w:adjustRightInd w:val="0"/>
        <w:spacing w:after="0" w:line="240" w:lineRule="auto"/>
        <w:jc w:val="both"/>
        <w:textAlignment w:val="baseline"/>
        <w:rPr>
          <w:rFonts w:ascii="Times New Roman" w:hAnsi="Times New Roman" w:cs="Times New Roman"/>
          <w:color w:val="000000"/>
        </w:rPr>
      </w:pPr>
    </w:p>
    <w:p w:rsidR="004526F9" w:rsidRPr="0062757F" w:rsidRDefault="004526F9" w:rsidP="009B3880">
      <w:pPr>
        <w:pStyle w:val="Heading3"/>
        <w:numPr>
          <w:ilvl w:val="0"/>
          <w:numId w:val="15"/>
        </w:numPr>
      </w:pPr>
      <w:r w:rsidRPr="0062757F">
        <w:lastRenderedPageBreak/>
        <w:t>Macro and Fiscal Sustainability</w:t>
      </w:r>
    </w:p>
    <w:p w:rsidR="004526F9" w:rsidRPr="0062757F" w:rsidRDefault="004526F9" w:rsidP="004526F9">
      <w:pPr>
        <w:spacing w:after="0" w:line="240" w:lineRule="auto"/>
        <w:jc w:val="both"/>
        <w:rPr>
          <w:rFonts w:ascii="Times New Roman" w:hAnsi="Times New Roman" w:cs="Times New Roman"/>
        </w:rPr>
      </w:pPr>
    </w:p>
    <w:p w:rsidR="004526F9" w:rsidRPr="0062757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62757F">
        <w:rPr>
          <w:rFonts w:ascii="Times New Roman" w:hAnsi="Times New Roman" w:cs="Times New Roman"/>
          <w:b/>
        </w:rPr>
        <w:t>While Tunisia has remained vulnerable to shocks, lower growth and greater external unbalances threaten macroeconomic and fiscal sustainability.</w:t>
      </w:r>
      <w:r w:rsidRPr="0062757F">
        <w:rPr>
          <w:rFonts w:ascii="Times New Roman" w:hAnsi="Times New Roman" w:cs="Times New Roman"/>
        </w:rPr>
        <w:t xml:space="preserve"> For the three years since the revolution, Tunisia has been running down its policy buffers. The macroeconomic space for expansionary policies has now vanished. While public and external debt remained at an acceptable level compared to international standards, they are expected to reach unsustainable level</w:t>
      </w:r>
      <w:r>
        <w:rPr>
          <w:rFonts w:ascii="Times New Roman" w:hAnsi="Times New Roman" w:cs="Times New Roman"/>
        </w:rPr>
        <w:t>s</w:t>
      </w:r>
      <w:r w:rsidRPr="0062757F">
        <w:rPr>
          <w:rFonts w:ascii="Times New Roman" w:hAnsi="Times New Roman" w:cs="Times New Roman"/>
        </w:rPr>
        <w:t xml:space="preserve"> if reforms are not implemented.</w:t>
      </w:r>
    </w:p>
    <w:p w:rsidR="004526F9" w:rsidRPr="002560DB" w:rsidRDefault="004526F9" w:rsidP="004526F9">
      <w:pPr>
        <w:spacing w:after="0" w:line="240" w:lineRule="auto"/>
        <w:jc w:val="both"/>
        <w:rPr>
          <w:rFonts w:ascii="Times New Roman" w:hAnsi="Times New Roman" w:cs="Times New Roman"/>
        </w:rPr>
      </w:pPr>
    </w:p>
    <w:p w:rsidR="004526F9" w:rsidRPr="00772811" w:rsidRDefault="004526F9" w:rsidP="004526F9">
      <w:pPr>
        <w:pStyle w:val="Heading5"/>
        <w:numPr>
          <w:ilvl w:val="0"/>
          <w:numId w:val="3"/>
        </w:numPr>
        <w:spacing w:before="40"/>
      </w:pPr>
      <w:r w:rsidRPr="00772811">
        <w:t>Fiscal sustainability</w:t>
      </w:r>
    </w:p>
    <w:p w:rsidR="004526F9" w:rsidRPr="0062757F" w:rsidRDefault="004526F9" w:rsidP="004526F9">
      <w:pPr>
        <w:spacing w:after="0" w:line="240" w:lineRule="auto"/>
        <w:jc w:val="both"/>
        <w:rPr>
          <w:rFonts w:ascii="Times New Roman" w:hAnsi="Times New Roman" w:cs="Times New Roman"/>
        </w:rPr>
      </w:pPr>
    </w:p>
    <w:p w:rsidR="004526F9" w:rsidRPr="0062757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62757F">
        <w:rPr>
          <w:rFonts w:ascii="Times New Roman" w:hAnsi="Times New Roman" w:cs="Times New Roman"/>
          <w:b/>
        </w:rPr>
        <w:t>Expansionary fiscal policy since the revolution resulted in growing fiscal deficit and public debt</w:t>
      </w:r>
      <w:r w:rsidRPr="0062757F">
        <w:rPr>
          <w:rFonts w:ascii="Times New Roman" w:hAnsi="Times New Roman" w:cs="Times New Roman"/>
        </w:rPr>
        <w:t>. The fiscal deficit increased from 1 percent of GDP to 6.2 percent between 2010 and 2013 and the public debt from 40.7 percent of GDP to 44.8 percent during the same period. While this increase was an acceptable range, public debt is expected to reach 56 percent of GDP by 2017 before slowly declining over the medium term, according to the baseline scenario of the</w:t>
      </w:r>
      <w:r>
        <w:rPr>
          <w:rFonts w:ascii="Times New Roman" w:hAnsi="Times New Roman" w:cs="Times New Roman"/>
        </w:rPr>
        <w:t xml:space="preserve"> most</w:t>
      </w:r>
      <w:r w:rsidRPr="0062757F">
        <w:rPr>
          <w:rFonts w:ascii="Times New Roman" w:hAnsi="Times New Roman" w:cs="Times New Roman"/>
        </w:rPr>
        <w:t xml:space="preserve"> recent</w:t>
      </w:r>
      <w:r>
        <w:rPr>
          <w:rFonts w:ascii="Times New Roman" w:hAnsi="Times New Roman" w:cs="Times New Roman"/>
        </w:rPr>
        <w:t xml:space="preserve"> </w:t>
      </w:r>
      <w:r w:rsidRPr="0062757F">
        <w:rPr>
          <w:rFonts w:ascii="Times New Roman" w:hAnsi="Times New Roman" w:cs="Times New Roman"/>
        </w:rPr>
        <w:t>debt sustainability analysis</w:t>
      </w:r>
      <w:r>
        <w:rPr>
          <w:rFonts w:ascii="Times New Roman" w:hAnsi="Times New Roman" w:cs="Times New Roman"/>
        </w:rPr>
        <w:t>.</w:t>
      </w:r>
      <w:r>
        <w:rPr>
          <w:rStyle w:val="FootnoteReference"/>
          <w:rFonts w:ascii="Times New Roman" w:hAnsi="Times New Roman" w:cs="Times New Roman"/>
        </w:rPr>
        <w:footnoteReference w:id="16"/>
      </w:r>
      <w:r w:rsidRPr="0062757F">
        <w:rPr>
          <w:rFonts w:ascii="Times New Roman" w:hAnsi="Times New Roman" w:cs="Times New Roman"/>
        </w:rPr>
        <w:t xml:space="preserve"> This baseline scenario assumes the fiscal consolidation and growth pick up in 2015, however if fiscal consolidation reforms are not implemented, it would result in growing public debt that could reach around 62 percent of GDP by 2019, while a permanent negative growth shock would increase public debt to about 67 percent of GDP by 2019. Public debt dynamics are vulnerable to a slower adjustment path, lower growth, a marked depreciation of the exchange rates</w:t>
      </w:r>
      <w:r>
        <w:rPr>
          <w:rFonts w:ascii="Times New Roman" w:hAnsi="Times New Roman" w:cs="Times New Roman"/>
        </w:rPr>
        <w:t>,</w:t>
      </w:r>
      <w:r w:rsidRPr="0062757F">
        <w:rPr>
          <w:rFonts w:ascii="Times New Roman" w:hAnsi="Times New Roman" w:cs="Times New Roman"/>
        </w:rPr>
        <w:t xml:space="preserve"> or a shock on contingent liabilities. </w:t>
      </w:r>
    </w:p>
    <w:p w:rsidR="004526F9" w:rsidRPr="0062757F"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
    <w:p w:rsidR="004526F9" w:rsidRPr="0062757F"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62757F">
        <w:rPr>
          <w:rFonts w:ascii="Times New Roman" w:hAnsi="Times New Roman" w:cs="Times New Roman"/>
          <w:b/>
        </w:rPr>
        <w:t>In addition, since the revolution, the budget has remained centered on the growing current spending rather than investment</w:t>
      </w:r>
      <w:r w:rsidRPr="0062757F">
        <w:rPr>
          <w:rFonts w:ascii="Times New Roman" w:hAnsi="Times New Roman" w:cs="Times New Roman"/>
        </w:rPr>
        <w:t>. Notably the wage bill and subsidies continued to increase until 2013, despite freez</w:t>
      </w:r>
      <w:r>
        <w:rPr>
          <w:rFonts w:ascii="Times New Roman" w:hAnsi="Times New Roman" w:cs="Times New Roman"/>
        </w:rPr>
        <w:t>es</w:t>
      </w:r>
      <w:r w:rsidRPr="0062757F">
        <w:rPr>
          <w:rFonts w:ascii="Times New Roman" w:hAnsi="Times New Roman" w:cs="Times New Roman"/>
        </w:rPr>
        <w:t xml:space="preserve"> </w:t>
      </w:r>
      <w:r>
        <w:rPr>
          <w:rFonts w:ascii="Times New Roman" w:hAnsi="Times New Roman" w:cs="Times New Roman"/>
        </w:rPr>
        <w:t>for</w:t>
      </w:r>
      <w:r w:rsidRPr="0062757F">
        <w:rPr>
          <w:rFonts w:ascii="Times New Roman" w:hAnsi="Times New Roman" w:cs="Times New Roman"/>
        </w:rPr>
        <w:t xml:space="preserve"> salaries and hiring of public servants</w:t>
      </w:r>
      <w:r>
        <w:rPr>
          <w:rFonts w:ascii="Times New Roman" w:hAnsi="Times New Roman" w:cs="Times New Roman"/>
        </w:rPr>
        <w:t>,</w:t>
      </w:r>
      <w:r w:rsidRPr="0062757F">
        <w:rPr>
          <w:rFonts w:ascii="Times New Roman" w:hAnsi="Times New Roman" w:cs="Times New Roman"/>
        </w:rPr>
        <w:t xml:space="preserve"> and </w:t>
      </w:r>
      <w:r>
        <w:rPr>
          <w:rFonts w:ascii="Times New Roman" w:hAnsi="Times New Roman" w:cs="Times New Roman"/>
        </w:rPr>
        <w:t xml:space="preserve">a </w:t>
      </w:r>
      <w:r w:rsidRPr="0062757F">
        <w:rPr>
          <w:rFonts w:ascii="Times New Roman" w:hAnsi="Times New Roman" w:cs="Times New Roman"/>
        </w:rPr>
        <w:t xml:space="preserve">gradual increase of subsidized fuel prices. In 2013, the wage bill accounted for 12.5 percent of GDP (against 10.6 percent in 2010), and subsidies and transfers represented 7.8 percent of GDP (against 3.6 percent in 2010). Only in 2014, the </w:t>
      </w:r>
      <w:r>
        <w:rPr>
          <w:rFonts w:ascii="Times New Roman" w:hAnsi="Times New Roman" w:cs="Times New Roman"/>
        </w:rPr>
        <w:t xml:space="preserve">was the </w:t>
      </w:r>
      <w:r w:rsidRPr="0062757F">
        <w:rPr>
          <w:rFonts w:ascii="Times New Roman" w:hAnsi="Times New Roman" w:cs="Times New Roman"/>
        </w:rPr>
        <w:t>expansionary policy put to a halt, leading the way to a medium-term fiscal consolidation, by slowing down the increase in current spending and progressively improving expenditure composition. In particular, spending on subsidies should decrease by 0.6 percent of GDP in 2014, thanks to the initial phase-out of energy subsidies. Measures have also been taken on the revenue side, including streamlining exemptions and widening the tax base. Assuming the intensification of fiscal consolidation over the medium term, the deficit is expected to gradually decline from 6.5 percent of GDP in 2014 to 3.2 percent in 2019. The fiscal consolidation will require continued action on wage bill discipline in the public sector, further phase-out of subsidies, SOE restructuring, and public sector pensions system. To mitigate the social costs of reforms, a better</w:t>
      </w:r>
      <w:r>
        <w:rPr>
          <w:rFonts w:ascii="Times New Roman" w:hAnsi="Times New Roman" w:cs="Times New Roman"/>
        </w:rPr>
        <w:t>-</w:t>
      </w:r>
      <w:r w:rsidRPr="0062757F">
        <w:rPr>
          <w:rFonts w:ascii="Times New Roman" w:hAnsi="Times New Roman" w:cs="Times New Roman"/>
        </w:rPr>
        <w:t>targeted social safety net system and a new strategy for the financing of social security should be quickly put in place.</w:t>
      </w:r>
    </w:p>
    <w:p w:rsidR="004526F9" w:rsidRDefault="004526F9" w:rsidP="004526F9">
      <w:pPr>
        <w:spacing w:after="0" w:line="240" w:lineRule="auto"/>
        <w:ind w:firstLine="720"/>
        <w:jc w:val="both"/>
        <w:rPr>
          <w:rFonts w:ascii="Times New Roman" w:eastAsiaTheme="majorEastAsia" w:hAnsi="Times New Roman" w:cs="Times New Roman"/>
          <w:color w:val="1F4D78" w:themeColor="accent1" w:themeShade="7F"/>
          <w:sz w:val="24"/>
          <w:szCs w:val="24"/>
        </w:rPr>
      </w:pPr>
    </w:p>
    <w:p w:rsidR="004526F9" w:rsidRPr="00772811" w:rsidRDefault="004526F9" w:rsidP="004526F9">
      <w:pPr>
        <w:pStyle w:val="Heading5"/>
        <w:numPr>
          <w:ilvl w:val="0"/>
          <w:numId w:val="3"/>
        </w:numPr>
        <w:spacing w:before="40"/>
      </w:pPr>
      <w:r w:rsidRPr="00772811">
        <w:t>Macroeconomic sustainability</w:t>
      </w:r>
    </w:p>
    <w:p w:rsidR="004526F9" w:rsidRPr="0062757F" w:rsidRDefault="004526F9" w:rsidP="004526F9">
      <w:pPr>
        <w:spacing w:after="0" w:line="240" w:lineRule="auto"/>
        <w:jc w:val="both"/>
        <w:rPr>
          <w:rFonts w:ascii="Times New Roman" w:hAnsi="Times New Roman" w:cs="Times New Roman"/>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62757F">
        <w:rPr>
          <w:rFonts w:ascii="Times New Roman" w:eastAsia="Times New Roman" w:hAnsi="Times New Roman" w:cs="Times New Roman"/>
          <w:b/>
        </w:rPr>
        <w:t>Tunisia’s external position has gradually eroded in the face of the expansionary policies favoring domestic consumption, delays in structural reforms to support exports, political uncertainly</w:t>
      </w:r>
      <w:r>
        <w:rPr>
          <w:rFonts w:ascii="Times New Roman" w:eastAsia="Times New Roman" w:hAnsi="Times New Roman" w:cs="Times New Roman"/>
          <w:b/>
        </w:rPr>
        <w:t>,</w:t>
      </w:r>
      <w:r w:rsidRPr="0062757F">
        <w:rPr>
          <w:rFonts w:ascii="Times New Roman" w:eastAsia="Times New Roman" w:hAnsi="Times New Roman" w:cs="Times New Roman"/>
          <w:b/>
        </w:rPr>
        <w:t xml:space="preserve"> and exogenous factors. </w:t>
      </w:r>
      <w:r w:rsidRPr="0062757F">
        <w:rPr>
          <w:rFonts w:ascii="Times New Roman" w:eastAsia="Times New Roman" w:hAnsi="Times New Roman" w:cs="Times New Roman"/>
        </w:rPr>
        <w:t xml:space="preserve">The trade balance deficit widened from 10.4 percent of GDP in 2010 to stand over 13 percent in 2014. Tourism receipts have been very volatile since the revolution, as the price competitiveness of Tunisian destinations has not offset concerns over the security situation until recently. Remittances have, on the other hand, quite steadily sustained the current account by about US$2.2 billion a year, but the overall imbalance has increased from 4.8 percent of GDP in 2010 to over 8 percent by 2014. Foreign direct investment has been negatively impacted by political uncertainty and the delays in reforms. The Central Bank has used up significant reserves </w:t>
      </w:r>
      <w:r>
        <w:rPr>
          <w:rFonts w:ascii="Times New Roman" w:eastAsia="Times New Roman" w:hAnsi="Times New Roman" w:cs="Times New Roman"/>
        </w:rPr>
        <w:t>since</w:t>
      </w:r>
      <w:r w:rsidRPr="0062757F">
        <w:rPr>
          <w:rFonts w:ascii="Times New Roman" w:eastAsia="Times New Roman" w:hAnsi="Times New Roman" w:cs="Times New Roman"/>
        </w:rPr>
        <w:t xml:space="preserve"> 2011, dropping from about </w:t>
      </w:r>
      <w:r w:rsidRPr="0062757F">
        <w:rPr>
          <w:rFonts w:ascii="Times New Roman" w:eastAsia="Times New Roman" w:hAnsi="Times New Roman" w:cs="Times New Roman"/>
        </w:rPr>
        <w:lastRenderedPageBreak/>
        <w:t xml:space="preserve">US$9.5 billion at the end of 2010 (or 4.4 months of GNFS imports) to approximately US$7.3 billion </w:t>
      </w:r>
      <w:r>
        <w:rPr>
          <w:rFonts w:ascii="Times New Roman" w:eastAsia="Times New Roman" w:hAnsi="Times New Roman" w:cs="Times New Roman"/>
        </w:rPr>
        <w:t>toward</w:t>
      </w:r>
      <w:r w:rsidRPr="0062757F">
        <w:rPr>
          <w:rFonts w:ascii="Times New Roman" w:eastAsia="Times New Roman" w:hAnsi="Times New Roman" w:cs="Times New Roman"/>
        </w:rPr>
        <w:t xml:space="preserve"> the end of 2014 (or 3.1 months of GNFS imports) to support the currency first, before limiting interventions to manage an orderly depreciation. While the exchange rate depreciation should sustain exports and the decline in international energy prices provides temporary relief, external imbalances will remain a source of vulnerability over the medium-term that can only be addressed by reforms favoring an adequate supply side response when foreign markets recover, especially in Europe.</w:t>
      </w:r>
    </w:p>
    <w:p w:rsidR="004526F9" w:rsidRDefault="004526F9" w:rsidP="004526F9">
      <w:pPr>
        <w:spacing w:after="0" w:line="240" w:lineRule="auto"/>
        <w:ind w:firstLine="720"/>
        <w:jc w:val="both"/>
        <w:rPr>
          <w:rFonts w:ascii="Times New Roman" w:eastAsia="Times New Roman" w:hAnsi="Times New Roman" w:cs="Times New Roman"/>
        </w:rPr>
      </w:pPr>
    </w:p>
    <w:p w:rsidR="004526F9" w:rsidRPr="0062757F" w:rsidRDefault="004526F9" w:rsidP="009B3880">
      <w:pPr>
        <w:pStyle w:val="Heading3"/>
        <w:numPr>
          <w:ilvl w:val="0"/>
          <w:numId w:val="15"/>
        </w:numPr>
      </w:pPr>
      <w:r w:rsidRPr="0062757F">
        <w:t>Environmental sustainability</w:t>
      </w:r>
    </w:p>
    <w:p w:rsidR="004526F9" w:rsidRPr="0062757F"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bCs/>
        </w:rPr>
      </w:pPr>
    </w:p>
    <w:p w:rsidR="004526F9"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793BF5">
        <w:rPr>
          <w:rFonts w:ascii="Times New Roman" w:hAnsi="Times New Roman" w:cs="Times New Roman"/>
          <w:b/>
          <w:bCs/>
        </w:rPr>
        <w:t>Sharing prosperity with future generations requires addressing the sustainability of Tunisia’s development model</w:t>
      </w:r>
      <w:r w:rsidRPr="00793BF5">
        <w:rPr>
          <w:rFonts w:ascii="Times New Roman" w:hAnsi="Times New Roman" w:cs="Times New Roman"/>
          <w:bCs/>
        </w:rPr>
        <w:t>. Tunisia’s ecosystems support its economic development and provide income and jobs to most vulnerable population.</w:t>
      </w:r>
      <w:r>
        <w:rPr>
          <w:rFonts w:ascii="Times New Roman" w:hAnsi="Times New Roman" w:cs="Times New Roman"/>
          <w:b/>
          <w:bCs/>
        </w:rPr>
        <w:t xml:space="preserve"> </w:t>
      </w:r>
      <w:r w:rsidRPr="00793BF5">
        <w:rPr>
          <w:rFonts w:ascii="Times New Roman" w:hAnsi="Times New Roman" w:cs="Times New Roman"/>
        </w:rPr>
        <w:t>For example, the coastal zone is home to over 65 percent of Tunisia’s population and to its major industries; it also supports its tourism sector, which relies in its mass on mass beach activity, and which contributes 7 percent of GDP (2008) and provides employment opportunities for 380,000 (10 percent of Tunisia’s active population).</w:t>
      </w:r>
      <w:r>
        <w:rPr>
          <w:rFonts w:ascii="Times New Roman" w:hAnsi="Times New Roman" w:cs="Times New Roman"/>
        </w:rPr>
        <w:t xml:space="preserve"> </w:t>
      </w:r>
      <w:r w:rsidRPr="00793BF5">
        <w:rPr>
          <w:rFonts w:ascii="Times New Roman" w:hAnsi="Times New Roman" w:cs="Times New Roman"/>
        </w:rPr>
        <w:t xml:space="preserve">Tunisia’s water and soil ecosystems support its agricultural activity that contributes 8 percent of GDP and employs 16 percent of the national workforce. </w:t>
      </w:r>
      <w:r w:rsidRPr="00793BF5">
        <w:rPr>
          <w:rFonts w:ascii="Times New Roman" w:hAnsi="Times New Roman" w:cs="Times New Roman"/>
          <w:bCs/>
        </w:rPr>
        <w:t>Tunisia’s development path is</w:t>
      </w:r>
      <w:r>
        <w:rPr>
          <w:rFonts w:ascii="Times New Roman" w:hAnsi="Times New Roman" w:cs="Times New Roman"/>
          <w:bCs/>
        </w:rPr>
        <w:t>,</w:t>
      </w:r>
      <w:r w:rsidRPr="00793BF5">
        <w:rPr>
          <w:rFonts w:ascii="Times New Roman" w:hAnsi="Times New Roman" w:cs="Times New Roman"/>
          <w:bCs/>
        </w:rPr>
        <w:t xml:space="preserve"> however</w:t>
      </w:r>
      <w:r>
        <w:rPr>
          <w:rFonts w:ascii="Times New Roman" w:hAnsi="Times New Roman" w:cs="Times New Roman"/>
          <w:bCs/>
        </w:rPr>
        <w:t>,</w:t>
      </w:r>
      <w:r w:rsidRPr="00793BF5">
        <w:rPr>
          <w:rFonts w:ascii="Times New Roman" w:hAnsi="Times New Roman" w:cs="Times New Roman"/>
          <w:bCs/>
        </w:rPr>
        <w:t xml:space="preserve"> depleting its natural resource stock</w:t>
      </w:r>
      <w:r w:rsidRPr="00793BF5">
        <w:rPr>
          <w:rFonts w:ascii="Times New Roman" w:hAnsi="Times New Roman" w:cs="Times New Roman"/>
        </w:rPr>
        <w:t xml:space="preserve">. The adjusted net savings (ANS) measures the real difference between national income and consumption. It takes into consideration investment in human capital, depreciation of fixed capital, depletion of natural resources, and damage caused by pollution. While Tunisia’s ANS rose from 2.6 percent of GDP in 1980 to 19 percent in 1999, it steadily declined over the </w:t>
      </w:r>
      <w:r>
        <w:rPr>
          <w:rFonts w:ascii="Times New Roman" w:hAnsi="Times New Roman" w:cs="Times New Roman"/>
        </w:rPr>
        <w:t>next</w:t>
      </w:r>
      <w:r w:rsidRPr="00793BF5">
        <w:rPr>
          <w:rFonts w:ascii="Times New Roman" w:hAnsi="Times New Roman" w:cs="Times New Roman"/>
        </w:rPr>
        <w:t xml:space="preserve"> decade to reach -3.2 percent by 2012 due to energy depletion, local pollution damage</w:t>
      </w:r>
      <w:r>
        <w:rPr>
          <w:rFonts w:ascii="Times New Roman" w:hAnsi="Times New Roman" w:cs="Times New Roman"/>
        </w:rPr>
        <w:t>,</w:t>
      </w:r>
      <w:r w:rsidRPr="00793BF5">
        <w:rPr>
          <w:rFonts w:ascii="Times New Roman" w:hAnsi="Times New Roman" w:cs="Times New Roman"/>
        </w:rPr>
        <w:t xml:space="preserve"> and mineral and forests depletion (WDI 2014)</w:t>
      </w:r>
      <w:r>
        <w:rPr>
          <w:rFonts w:ascii="Times New Roman" w:hAnsi="Times New Roman" w:cs="Times New Roman"/>
        </w:rPr>
        <w:t>.</w:t>
      </w:r>
    </w:p>
    <w:p w:rsidR="004526F9" w:rsidRPr="00CE27EA" w:rsidRDefault="004526F9" w:rsidP="004526F9">
      <w:pPr>
        <w:pStyle w:val="ListParagraph"/>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
    <w:p w:rsidR="004526F9" w:rsidRPr="00793BF5" w:rsidRDefault="004526F9" w:rsidP="004526F9">
      <w:pPr>
        <w:pStyle w:val="ListParagraph"/>
        <w:numPr>
          <w:ilvl w:val="0"/>
          <w:numId w:val="1"/>
        </w:numPr>
        <w:overflowPunct w:val="0"/>
        <w:autoSpaceDE w:val="0"/>
        <w:autoSpaceDN w:val="0"/>
        <w:adjustRightInd w:val="0"/>
        <w:spacing w:after="0" w:line="240" w:lineRule="auto"/>
        <w:ind w:left="0" w:firstLine="720"/>
        <w:jc w:val="both"/>
        <w:textAlignment w:val="baseline"/>
        <w:rPr>
          <w:rFonts w:ascii="Times New Roman" w:hAnsi="Times New Roman" w:cs="Times New Roman"/>
        </w:rPr>
      </w:pPr>
      <w:r w:rsidRPr="00793BF5">
        <w:rPr>
          <w:rFonts w:ascii="Times New Roman" w:hAnsi="Times New Roman" w:cs="Times New Roman"/>
          <w:b/>
        </w:rPr>
        <w:t>The unsustainable use of natural capital reduces the flow of economic and social benefits such that it is more difficult to achieve sustainable development, poverty reduction and other development goals</w:t>
      </w:r>
      <w:r w:rsidRPr="00793BF5">
        <w:rPr>
          <w:rFonts w:ascii="Times New Roman" w:hAnsi="Times New Roman" w:cs="Times New Roman"/>
        </w:rPr>
        <w:t>.</w:t>
      </w:r>
      <w:r>
        <w:rPr>
          <w:rFonts w:ascii="Times New Roman" w:hAnsi="Times New Roman" w:cs="Times New Roman"/>
        </w:rPr>
        <w:t xml:space="preserve"> </w:t>
      </w:r>
      <w:r w:rsidRPr="00793BF5">
        <w:rPr>
          <w:rFonts w:ascii="Times New Roman" w:hAnsi="Times New Roman" w:cs="Times New Roman"/>
        </w:rPr>
        <w:t>The linkages between these issues are stronger in Tunisia because an important proportion of the population is dependent on natural capital. It is therefore important to ensure an inclusive and participatory approach to: (</w:t>
      </w:r>
      <w:proofErr w:type="spellStart"/>
      <w:r w:rsidRPr="00793BF5">
        <w:rPr>
          <w:rFonts w:ascii="Times New Roman" w:hAnsi="Times New Roman" w:cs="Times New Roman"/>
        </w:rPr>
        <w:t>i</w:t>
      </w:r>
      <w:proofErr w:type="spellEnd"/>
      <w:r w:rsidRPr="00793BF5">
        <w:rPr>
          <w:rFonts w:ascii="Times New Roman" w:hAnsi="Times New Roman" w:cs="Times New Roman"/>
        </w:rPr>
        <w:t>) consider natural resources as an integral part of a more comprehensive and sustainable socio-economic development paradigm, whereby these resources would be viewed as key support for improved livelihoods; (ii) consistently improve current practices characterized by slow, inefficient</w:t>
      </w:r>
      <w:r>
        <w:rPr>
          <w:rFonts w:ascii="Times New Roman" w:hAnsi="Times New Roman" w:cs="Times New Roman"/>
        </w:rPr>
        <w:t>,</w:t>
      </w:r>
      <w:r w:rsidRPr="00793BF5">
        <w:rPr>
          <w:rFonts w:ascii="Times New Roman" w:hAnsi="Times New Roman" w:cs="Times New Roman"/>
        </w:rPr>
        <w:t xml:space="preserve"> and top-down decision-making processes; and (iii) significantly reconcile broad environmental protection concerns and local socio-economic priorities, as well as optimally balance potential gains in natural capital and productivity including at household level. Furthermore, the approach should be put on strengthening and enhancing sustainable and low-carbon local development practices (by reducing greenhouse gas emissions), improving the capacities of natural ecosystems to sequestrate carbon, maintaining and improving the value of goods and services of natural ecosystems, and reducing the pressures facing these ecosystems.</w:t>
      </w:r>
    </w:p>
    <w:p w:rsidR="004526F9" w:rsidRDefault="004526F9" w:rsidP="004526F9">
      <w:pPr>
        <w:spacing w:after="0" w:line="240" w:lineRule="auto"/>
        <w:ind w:firstLine="720"/>
        <w:jc w:val="both"/>
        <w:rPr>
          <w:rFonts w:ascii="Times New Roman" w:eastAsiaTheme="majorEastAsia" w:hAnsi="Times New Roman" w:cs="Times New Roman"/>
          <w:color w:val="1F4D78" w:themeColor="accent1" w:themeShade="7F"/>
          <w:sz w:val="24"/>
          <w:szCs w:val="24"/>
        </w:rPr>
      </w:pPr>
    </w:p>
    <w:p w:rsidR="004526F9" w:rsidRPr="00CE27EA" w:rsidRDefault="004526F9" w:rsidP="009B3880">
      <w:pPr>
        <w:pStyle w:val="Heading1"/>
        <w:numPr>
          <w:ilvl w:val="0"/>
          <w:numId w:val="6"/>
        </w:numPr>
      </w:pPr>
      <w:bookmarkStart w:id="5" w:name="_Toc292977973"/>
      <w:r w:rsidRPr="00CE27EA">
        <w:t>Conclusion</w:t>
      </w:r>
      <w:bookmarkEnd w:id="5"/>
    </w:p>
    <w:p w:rsidR="004526F9" w:rsidRPr="00052EEA" w:rsidRDefault="004526F9" w:rsidP="004526F9">
      <w:pPr>
        <w:spacing w:after="0" w:line="240" w:lineRule="auto"/>
        <w:ind w:firstLine="720"/>
        <w:jc w:val="both"/>
        <w:rPr>
          <w:rFonts w:ascii="Times New Roman" w:hAnsi="Times New Roman" w:cs="Times New Roman"/>
        </w:rPr>
      </w:pPr>
    </w:p>
    <w:p w:rsidR="004526F9" w:rsidRPr="00052EEA" w:rsidRDefault="004526F9" w:rsidP="004526F9">
      <w:pPr>
        <w:pStyle w:val="ListParagraph"/>
        <w:numPr>
          <w:ilvl w:val="0"/>
          <w:numId w:val="1"/>
        </w:numPr>
        <w:spacing w:after="0" w:line="240" w:lineRule="auto"/>
        <w:ind w:left="0" w:firstLine="720"/>
        <w:jc w:val="both"/>
      </w:pPr>
      <w:r w:rsidRPr="007B00A5">
        <w:rPr>
          <w:rFonts w:ascii="Times New Roman" w:hAnsi="Times New Roman" w:cs="Times New Roman"/>
          <w:b/>
        </w:rPr>
        <w:t xml:space="preserve">The next five years represent an unprecedented window of opportunity, as Tunisia stands at a crossroads to capitalize on its assets and potentials, by implementing sustained reforms. </w:t>
      </w:r>
      <w:r w:rsidRPr="007B00A5">
        <w:rPr>
          <w:rFonts w:ascii="Times New Roman" w:hAnsi="Times New Roman" w:cs="Times New Roman"/>
        </w:rPr>
        <w:t>Now that the democratic transition is coming to an end and many path-breaking reforms have been initiated</w:t>
      </w:r>
      <w:r>
        <w:rPr>
          <w:rFonts w:ascii="Times New Roman" w:hAnsi="Times New Roman" w:cs="Times New Roman"/>
        </w:rPr>
        <w:t>,</w:t>
      </w:r>
      <w:r w:rsidRPr="007B00A5">
        <w:rPr>
          <w:rFonts w:ascii="Times New Roman" w:hAnsi="Times New Roman" w:cs="Times New Roman"/>
        </w:rPr>
        <w:t xml:space="preserve"> Tunisia can now “shift gears” and proceed to implement the next generation of reforms, including deep and vital changes that will span from the economic structure to the overall governance dimension of the socio-economic and political context. This new development model, underpinned by the renewed social contract enshrined in the Constitution and a dialogue promoting accountability and </w:t>
      </w:r>
      <w:r w:rsidRPr="007B00A5">
        <w:rPr>
          <w:rFonts w:ascii="Times New Roman" w:hAnsi="Times New Roman" w:cs="Times New Roman"/>
        </w:rPr>
        <w:lastRenderedPageBreak/>
        <w:t>opening up of the policy space would unleash the potential to achieve higher growth and shared prosperity. The success of this large agenda of reforms will depend on the ability of the new and more complex political and social landscape of Tunisia to work efficiently, combining adequate consultation and participation with decisive implementation that minimizes the gap between the adoption of reforms and the results they deliver on the ground. This will further require institutional changes, notably in the public sector, to best serve the economic transformation and social inclusion agenda.</w:t>
      </w:r>
    </w:p>
    <w:p w:rsidR="004C002E" w:rsidRDefault="004C002E"/>
    <w:sectPr w:rsidR="004C0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F9" w:rsidRDefault="004526F9" w:rsidP="004526F9">
      <w:pPr>
        <w:spacing w:after="0" w:line="240" w:lineRule="auto"/>
      </w:pPr>
      <w:r>
        <w:separator/>
      </w:r>
    </w:p>
  </w:endnote>
  <w:endnote w:type="continuationSeparator" w:id="0">
    <w:p w:rsidR="004526F9" w:rsidRDefault="004526F9" w:rsidP="0045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F9" w:rsidRDefault="004526F9" w:rsidP="004526F9">
      <w:pPr>
        <w:spacing w:after="0" w:line="240" w:lineRule="auto"/>
      </w:pPr>
      <w:r>
        <w:separator/>
      </w:r>
    </w:p>
  </w:footnote>
  <w:footnote w:type="continuationSeparator" w:id="0">
    <w:p w:rsidR="004526F9" w:rsidRDefault="004526F9" w:rsidP="004526F9">
      <w:pPr>
        <w:spacing w:after="0" w:line="240" w:lineRule="auto"/>
      </w:pPr>
      <w:r>
        <w:continuationSeparator/>
      </w:r>
    </w:p>
  </w:footnote>
  <w:footnote w:id="1">
    <w:p w:rsidR="004526F9" w:rsidRPr="00824925" w:rsidRDefault="004526F9" w:rsidP="004526F9">
      <w:pPr>
        <w:pStyle w:val="FootnoteText"/>
        <w:jc w:val="both"/>
      </w:pPr>
      <w:r w:rsidRPr="00183491">
        <w:rPr>
          <w:rStyle w:val="FootnoteReference"/>
          <w:rFonts w:cs="Times New Roman"/>
        </w:rPr>
        <w:footnoteRef/>
      </w:r>
      <w:r w:rsidRPr="0070016C">
        <w:rPr>
          <w:rFonts w:cs="Times New Roman"/>
          <w:szCs w:val="18"/>
        </w:rPr>
        <w:t xml:space="preserve"> Real GDP </w:t>
      </w:r>
      <w:r w:rsidRPr="00824925">
        <w:rPr>
          <w:rFonts w:cs="Times New Roman"/>
          <w:szCs w:val="18"/>
        </w:rPr>
        <w:t>grew at an average of 5 percent yearly between 1995 and 2008. Growth was mainly driven by large public investment and strong domestic demand, coupled with more dynamic exports and a sharp increase in FDI inflows. Tunisia also benefitted from an improved macroeconomic management since the 1990s, when a first wave of structural reforms started. Strengthened management of monetary and fiscal policies allowed containing the fiscal deficit (lower than 3 percent of GDP between 2000 and 2008) and inflation, safeguarding in this way most of the real purchasing power of the poor.</w:t>
      </w:r>
    </w:p>
  </w:footnote>
  <w:footnote w:id="2">
    <w:p w:rsidR="004526F9" w:rsidRPr="00824925" w:rsidRDefault="004526F9" w:rsidP="004526F9">
      <w:pPr>
        <w:pStyle w:val="FootnoteText"/>
        <w:jc w:val="both"/>
        <w:rPr>
          <w:rFonts w:cs="Times New Roman"/>
        </w:rPr>
      </w:pPr>
      <w:r w:rsidRPr="00824925">
        <w:rPr>
          <w:rStyle w:val="FootnoteReference"/>
        </w:rPr>
        <w:footnoteRef/>
      </w:r>
      <w:r w:rsidRPr="00824925">
        <w:t xml:space="preserve"> </w:t>
      </w:r>
      <w:r w:rsidRPr="00824925">
        <w:rPr>
          <w:rFonts w:cs="Times New Roman"/>
          <w:szCs w:val="18"/>
        </w:rPr>
        <w:t>Poverty rates (based on a national poverty line estimated at 1,077 dinars in 2010, date of the most recent poverty survey which amount roughly to $3.42 per day (2005 PPP). Based on a $2 per day poverty line, poverty rates stand at 4.3 percent.</w:t>
      </w:r>
    </w:p>
  </w:footnote>
  <w:footnote w:id="3">
    <w:p w:rsidR="004526F9" w:rsidRPr="00824925" w:rsidRDefault="004526F9" w:rsidP="004526F9">
      <w:pPr>
        <w:pStyle w:val="FootnoteText"/>
        <w:jc w:val="both"/>
        <w:rPr>
          <w:szCs w:val="18"/>
        </w:rPr>
      </w:pPr>
      <w:r w:rsidRPr="00824925">
        <w:rPr>
          <w:rStyle w:val="FootnoteReference"/>
        </w:rPr>
        <w:footnoteRef/>
      </w:r>
      <w:r w:rsidRPr="00824925">
        <w:t xml:space="preserve"> </w:t>
      </w:r>
      <w:r w:rsidRPr="00824925">
        <w:rPr>
          <w:rFonts w:cs="Times New Roman"/>
          <w:szCs w:val="18"/>
        </w:rPr>
        <w:t>The new Constitution recognizes the right of access to information as a prerequisite for transparency and accountability of the government, allowing citizens to make informed choices, and safeguarding them against mismanagement and corruption. It also strives to guarantee that adequate check and balance processes are in place. Among its main achievements, the new Constitution preserves and further guarantees women’s rights and equality of female and male citizens and confirming the right to conscious and limits the parliament in restricting freedoms and fundamental rights, especially through the newly created constitutional court.</w:t>
      </w:r>
    </w:p>
  </w:footnote>
  <w:footnote w:id="4">
    <w:p w:rsidR="004526F9" w:rsidRPr="00824925" w:rsidRDefault="004526F9" w:rsidP="004526F9">
      <w:pPr>
        <w:pStyle w:val="FootnoteText"/>
        <w:jc w:val="both"/>
      </w:pPr>
      <w:r w:rsidRPr="00824925">
        <w:rPr>
          <w:rStyle w:val="FootnoteReference"/>
        </w:rPr>
        <w:footnoteRef/>
      </w:r>
      <w:r w:rsidRPr="00824925">
        <w:t xml:space="preserve"> </w:t>
      </w:r>
      <w:r w:rsidRPr="00824925">
        <w:rPr>
          <w:rFonts w:cs="Times New Roman"/>
        </w:rPr>
        <w:t xml:space="preserve">In June 2013 Tunisia joined a 24-month Stand-By Arrangement program by IMF in an amount equivalent to $1.75 billion. The focus of the program is to contribute to short-term macroeconomic stabilization and laying foundations for higher and more inclusive growth, including moving forcefully on banking reforms. </w:t>
      </w:r>
    </w:p>
  </w:footnote>
  <w:footnote w:id="5">
    <w:p w:rsidR="004526F9" w:rsidRPr="00824925" w:rsidRDefault="004526F9" w:rsidP="004526F9">
      <w:pPr>
        <w:pStyle w:val="FootnoteText"/>
        <w:jc w:val="both"/>
      </w:pPr>
      <w:r w:rsidRPr="00824925">
        <w:rPr>
          <w:rStyle w:val="FootnoteReference"/>
        </w:rPr>
        <w:footnoteRef/>
      </w:r>
      <w:r w:rsidRPr="00824925">
        <w:t xml:space="preserve"> </w:t>
      </w:r>
      <w:r w:rsidRPr="00824925">
        <w:rPr>
          <w:rFonts w:cs="Times New Roman"/>
          <w:szCs w:val="18"/>
        </w:rPr>
        <w:t>The implementation of a tight monetary policy and a more flexible exchange rate policy are also essential to reduce external vulnerabilities, improve Tunisia’s price competitiveness, and rebuild foreign exchange buffers</w:t>
      </w:r>
    </w:p>
  </w:footnote>
  <w:footnote w:id="6">
    <w:p w:rsidR="004526F9" w:rsidRPr="00824925" w:rsidRDefault="004526F9" w:rsidP="004526F9">
      <w:pPr>
        <w:pStyle w:val="FootnoteText"/>
        <w:jc w:val="both"/>
      </w:pPr>
      <w:r w:rsidRPr="00824925">
        <w:rPr>
          <w:rStyle w:val="FootnoteReference"/>
        </w:rPr>
        <w:footnoteRef/>
      </w:r>
      <w:r w:rsidRPr="00824925">
        <w:t xml:space="preserve"> </w:t>
      </w:r>
      <w:r w:rsidRPr="00824925">
        <w:rPr>
          <w:rFonts w:cs="Times New Roman"/>
        </w:rPr>
        <w:t>For example, all energy subsidies to the cement sector have been eliminated since 2013</w:t>
      </w:r>
      <w:proofErr w:type="gramStart"/>
      <w:r w:rsidRPr="00824925">
        <w:rPr>
          <w:rFonts w:cs="Times New Roman"/>
        </w:rPr>
        <w:t>,.</w:t>
      </w:r>
      <w:proofErr w:type="gramEnd"/>
      <w:r w:rsidRPr="00824925">
        <w:rPr>
          <w:rFonts w:cs="Times New Roman"/>
        </w:rPr>
        <w:t xml:space="preserve"> Recent increases in electricity and fuel prices, and the introduction of a reduced electricity tariff for households consuming less than 100 </w:t>
      </w:r>
      <w:proofErr w:type="gramStart"/>
      <w:r w:rsidRPr="00824925">
        <w:rPr>
          <w:rFonts w:cs="Times New Roman"/>
        </w:rPr>
        <w:t>kwh</w:t>
      </w:r>
      <w:proofErr w:type="gramEnd"/>
      <w:r w:rsidRPr="00824925">
        <w:rPr>
          <w:rFonts w:cs="Times New Roman"/>
        </w:rPr>
        <w:t>, are also steps in the right direction. Public spending savings from these measures are estimated at 0.2</w:t>
      </w:r>
      <w:r>
        <w:rPr>
          <w:rFonts w:cs="Times New Roman"/>
        </w:rPr>
        <w:t xml:space="preserve"> percent</w:t>
      </w:r>
      <w:r w:rsidRPr="00824925">
        <w:rPr>
          <w:rFonts w:cs="Times New Roman"/>
        </w:rPr>
        <w:t xml:space="preserve"> of GDP. Eliminating energy subsidies for the other energy-intensive industries and increasing electricity and fuel prices for industrial users will result in an additional reduction in public spending of 0.5</w:t>
      </w:r>
      <w:r>
        <w:rPr>
          <w:rFonts w:cs="Times New Roman"/>
        </w:rPr>
        <w:t xml:space="preserve"> percent</w:t>
      </w:r>
      <w:r w:rsidRPr="00824925">
        <w:rPr>
          <w:rFonts w:cs="Times New Roman"/>
        </w:rPr>
        <w:t xml:space="preserve"> of GDP in 2015.</w:t>
      </w:r>
    </w:p>
  </w:footnote>
  <w:footnote w:id="7">
    <w:p w:rsidR="004526F9" w:rsidRPr="00824925" w:rsidRDefault="004526F9" w:rsidP="004526F9">
      <w:pPr>
        <w:pStyle w:val="FootnoteText"/>
      </w:pPr>
      <w:r w:rsidRPr="00824925">
        <w:rPr>
          <w:rStyle w:val="FootnoteReference"/>
        </w:rPr>
        <w:footnoteRef/>
      </w:r>
      <w:r w:rsidRPr="00824925">
        <w:t xml:space="preserve"> </w:t>
      </w:r>
      <w:r w:rsidRPr="00824925">
        <w:rPr>
          <w:rFonts w:cs="Times New Roman"/>
          <w:szCs w:val="18"/>
        </w:rPr>
        <w:t>Detailed areas of opportunities where reforms are already ongoing or where conditions might be in place for their implementation are provided in Annex I.C.</w:t>
      </w:r>
    </w:p>
  </w:footnote>
  <w:footnote w:id="8">
    <w:p w:rsidR="004526F9" w:rsidRPr="00824925" w:rsidRDefault="004526F9" w:rsidP="004526F9">
      <w:pPr>
        <w:pStyle w:val="FootnoteText"/>
      </w:pPr>
      <w:r w:rsidRPr="00824925">
        <w:rPr>
          <w:rStyle w:val="FootnoteReference"/>
        </w:rPr>
        <w:footnoteRef/>
      </w:r>
      <w:r w:rsidRPr="00824925">
        <w:rPr>
          <w:rFonts w:cs="Times New Roman"/>
        </w:rPr>
        <w:t xml:space="preserve"> More details on reform areas in Annex I table C2.</w:t>
      </w:r>
    </w:p>
  </w:footnote>
  <w:footnote w:id="9">
    <w:p w:rsidR="004526F9" w:rsidRPr="00824925" w:rsidRDefault="004526F9" w:rsidP="004526F9">
      <w:pPr>
        <w:pStyle w:val="FootnoteText"/>
        <w:rPr>
          <w:szCs w:val="18"/>
        </w:rPr>
      </w:pPr>
      <w:r w:rsidRPr="00824925">
        <w:rPr>
          <w:rStyle w:val="FootnoteReference"/>
        </w:rPr>
        <w:footnoteRef/>
      </w:r>
      <w:r w:rsidRPr="00824925">
        <w:t xml:space="preserve"> </w:t>
      </w:r>
      <w:r w:rsidRPr="00824925">
        <w:rPr>
          <w:rFonts w:cs="Times New Roman"/>
          <w:szCs w:val="18"/>
        </w:rPr>
        <w:t>Better performance in the banking sector could increase the level of credit to the private sector by at least 10 percent of GDP, which could generate in excess of US$10 billion in additional investments to be injected in the economy over the next 10 years, corresponding roughly to an additional 38,000 additional jobs per year (Tunisia 2014 DPR).</w:t>
      </w:r>
    </w:p>
  </w:footnote>
  <w:footnote w:id="10">
    <w:p w:rsidR="004526F9" w:rsidRPr="00824925" w:rsidRDefault="004526F9" w:rsidP="004526F9">
      <w:pPr>
        <w:pStyle w:val="FootnoteText"/>
      </w:pPr>
      <w:r w:rsidRPr="00824925">
        <w:rPr>
          <w:rStyle w:val="FootnoteReference"/>
        </w:rPr>
        <w:footnoteRef/>
      </w:r>
      <w:r w:rsidRPr="00824925">
        <w:t xml:space="preserve"> </w:t>
      </w:r>
      <w:r w:rsidRPr="00824925">
        <w:rPr>
          <w:rFonts w:cs="Times New Roman"/>
          <w:szCs w:val="18"/>
        </w:rPr>
        <w:t>These include the third Export Development Project and the MSME facility.</w:t>
      </w:r>
    </w:p>
  </w:footnote>
  <w:footnote w:id="11">
    <w:p w:rsidR="004526F9" w:rsidRPr="00824925" w:rsidRDefault="004526F9" w:rsidP="004526F9">
      <w:pPr>
        <w:pStyle w:val="FootnoteText"/>
        <w:contextualSpacing/>
        <w:rPr>
          <w:szCs w:val="18"/>
        </w:rPr>
      </w:pPr>
      <w:r w:rsidRPr="00824925">
        <w:rPr>
          <w:rStyle w:val="FootnoteReference"/>
        </w:rPr>
        <w:footnoteRef/>
      </w:r>
      <w:r w:rsidRPr="00824925">
        <w:rPr>
          <w:szCs w:val="18"/>
        </w:rPr>
        <w:t xml:space="preserve"> </w:t>
      </w:r>
      <w:r w:rsidRPr="00824925">
        <w:rPr>
          <w:rFonts w:cs="Times New Roman"/>
          <w:szCs w:val="18"/>
        </w:rPr>
        <w:t>Industrial policies pursued will have to change their nature that has so far not targeted market failure and have favored firms, rather than sectors.</w:t>
      </w:r>
    </w:p>
  </w:footnote>
  <w:footnote w:id="12">
    <w:p w:rsidR="004526F9" w:rsidRPr="00824925" w:rsidRDefault="004526F9" w:rsidP="004526F9">
      <w:pPr>
        <w:keepNext/>
        <w:keepLines/>
        <w:spacing w:after="0" w:line="240" w:lineRule="auto"/>
        <w:jc w:val="both"/>
        <w:rPr>
          <w:sz w:val="18"/>
          <w:szCs w:val="18"/>
        </w:rPr>
      </w:pPr>
      <w:r w:rsidRPr="00824925">
        <w:rPr>
          <w:rStyle w:val="FootnoteReference"/>
        </w:rPr>
        <w:footnoteRef/>
      </w:r>
      <w:r w:rsidRPr="00824925">
        <w:rPr>
          <w:sz w:val="18"/>
          <w:szCs w:val="18"/>
        </w:rPr>
        <w:t xml:space="preserve"> </w:t>
      </w:r>
      <w:r w:rsidRPr="00824925">
        <w:rPr>
          <w:rFonts w:ascii="Times New Roman" w:hAnsi="Times New Roman" w:cs="Times New Roman"/>
          <w:sz w:val="18"/>
          <w:szCs w:val="18"/>
        </w:rPr>
        <w:t xml:space="preserve">Reducing the tax-wedge, rationalizing redistributive arrangements, reforming dismissal procedures, and reducing discretion in the setting of the minimum wage. </w:t>
      </w:r>
    </w:p>
  </w:footnote>
  <w:footnote w:id="13">
    <w:p w:rsidR="004526F9" w:rsidRPr="00824925" w:rsidRDefault="004526F9" w:rsidP="004526F9">
      <w:pPr>
        <w:pStyle w:val="FootnoteText"/>
        <w:jc w:val="both"/>
      </w:pPr>
      <w:r w:rsidRPr="00824925">
        <w:rPr>
          <w:rStyle w:val="FootnoteReference"/>
          <w:rFonts w:cs="Times New Roman"/>
        </w:rPr>
        <w:footnoteRef/>
      </w:r>
      <w:r w:rsidRPr="00824925">
        <w:rPr>
          <w:rFonts w:cs="Times New Roman"/>
          <w:szCs w:val="18"/>
        </w:rPr>
        <w:t xml:space="preserve"> To this end, the Constitution lays down the mandate for LGs to achieve the following: (</w:t>
      </w:r>
      <w:proofErr w:type="spellStart"/>
      <w:r w:rsidRPr="00824925">
        <w:rPr>
          <w:rFonts w:cs="Times New Roman"/>
          <w:szCs w:val="18"/>
        </w:rPr>
        <w:t>i</w:t>
      </w:r>
      <w:proofErr w:type="spellEnd"/>
      <w:r w:rsidRPr="00824925">
        <w:rPr>
          <w:rFonts w:cs="Times New Roman"/>
          <w:szCs w:val="18"/>
        </w:rPr>
        <w:t xml:space="preserve">) financial and administrative autonomy; (ii) participatory local democracy and open election of municipal representatives; (iii) formal assignment of functions according to principles of subsidiarity; (iv) own source revenues and transparent, objective and predictable systems of inter-governmental fiscal transfers, including consideration of issues addressing equity, equalization and national policy priorities; (v) governance structures that ensure participatory governance and accountability of municipalities to electorates in decision-making and program implementation; (vi) inter-municipal cooperation in metropolitan areas and (vii) restructuring of the </w:t>
      </w:r>
      <w:proofErr w:type="spellStart"/>
      <w:r w:rsidRPr="00C62DD7">
        <w:rPr>
          <w:rFonts w:cs="Times New Roman"/>
          <w:i/>
          <w:szCs w:val="18"/>
        </w:rPr>
        <w:t>tutelle</w:t>
      </w:r>
      <w:proofErr w:type="spellEnd"/>
      <w:r w:rsidRPr="00824925">
        <w:rPr>
          <w:rFonts w:cs="Times New Roman"/>
          <w:szCs w:val="18"/>
        </w:rPr>
        <w:t xml:space="preserve"> system to play an ex-post rather than an ex-ante oversight role.</w:t>
      </w:r>
    </w:p>
  </w:footnote>
  <w:footnote w:id="14">
    <w:p w:rsidR="004526F9" w:rsidRPr="00824925" w:rsidRDefault="004526F9" w:rsidP="004526F9">
      <w:pPr>
        <w:pStyle w:val="FootnoteText"/>
        <w:jc w:val="both"/>
        <w:rPr>
          <w:rFonts w:cs="Times New Roman"/>
          <w:sz w:val="19"/>
          <w:szCs w:val="19"/>
        </w:rPr>
      </w:pPr>
      <w:r w:rsidRPr="00824925">
        <w:rPr>
          <w:rStyle w:val="FootnoteReference"/>
          <w:rFonts w:cs="Times New Roman"/>
          <w:sz w:val="19"/>
          <w:szCs w:val="19"/>
        </w:rPr>
        <w:footnoteRef/>
      </w:r>
      <w:r w:rsidRPr="00824925">
        <w:rPr>
          <w:rFonts w:cs="Times New Roman"/>
          <w:sz w:val="19"/>
          <w:szCs w:val="19"/>
        </w:rPr>
        <w:t xml:space="preserve"> </w:t>
      </w:r>
      <w:r w:rsidRPr="00C62DD7">
        <w:rPr>
          <w:rFonts w:cs="Times New Roman"/>
          <w:color w:val="000000"/>
          <w:szCs w:val="18"/>
        </w:rPr>
        <w:t>The latest survey in Tunisia by the Pew Research Center is based on face-to-face interviews conducted with 1,000 respondents from April 19 to May 9, 2014. The poll results were released on October 15, 2014</w:t>
      </w:r>
      <w:r w:rsidRPr="00824925">
        <w:rPr>
          <w:rFonts w:cs="Times New Roman"/>
          <w:color w:val="000000"/>
          <w:szCs w:val="18"/>
        </w:rPr>
        <w:t>.</w:t>
      </w:r>
    </w:p>
  </w:footnote>
  <w:footnote w:id="15">
    <w:p w:rsidR="004526F9" w:rsidRPr="00824925" w:rsidRDefault="004526F9" w:rsidP="004526F9">
      <w:pPr>
        <w:pStyle w:val="FootnoteText"/>
        <w:jc w:val="both"/>
        <w:rPr>
          <w:rFonts w:cs="Times New Roman"/>
          <w:sz w:val="19"/>
          <w:szCs w:val="19"/>
        </w:rPr>
      </w:pPr>
      <w:r w:rsidRPr="00824925">
        <w:rPr>
          <w:rStyle w:val="FootnoteReference"/>
          <w:rFonts w:cs="Times New Roman"/>
          <w:sz w:val="19"/>
          <w:szCs w:val="19"/>
        </w:rPr>
        <w:footnoteRef/>
      </w:r>
      <w:r w:rsidRPr="00824925">
        <w:rPr>
          <w:rFonts w:cs="Times New Roman"/>
          <w:sz w:val="19"/>
          <w:szCs w:val="19"/>
        </w:rPr>
        <w:t xml:space="preserve"> </w:t>
      </w:r>
      <w:r w:rsidRPr="00C62DD7">
        <w:rPr>
          <w:rFonts w:cs="Times New Roman"/>
          <w:szCs w:val="18"/>
        </w:rPr>
        <w:t xml:space="preserve">Findings in Tunisia closely reflect those in Colombia and Thailand, the former in partial transition from conflict and the latter in a state of chronic political upheaval. Attitudes in transition countries often reflect the dichotomy of the public’s interest in balancing stability with rights and freedoms. In periods of political turmoil citizens may be more willing to trade enhanced rights for greater stability. However, without public engagement and pressure difficult reforms are less likely to be addressed effectively. Implementation of reforms will be heavily dependent on a civil service, which in the past has lacked efficiency and effectiveness. </w:t>
      </w:r>
    </w:p>
  </w:footnote>
  <w:footnote w:id="16">
    <w:p w:rsidR="004526F9" w:rsidRPr="00824925" w:rsidRDefault="004526F9" w:rsidP="004526F9">
      <w:pPr>
        <w:pStyle w:val="FootnoteText"/>
        <w:rPr>
          <w:rFonts w:cs="Times New Roman"/>
        </w:rPr>
      </w:pPr>
      <w:r w:rsidRPr="00824925">
        <w:rPr>
          <w:rStyle w:val="FootnoteReference"/>
          <w:rFonts w:cs="Times New Roman"/>
        </w:rPr>
        <w:footnoteRef/>
      </w:r>
      <w:r w:rsidRPr="00824925">
        <w:rPr>
          <w:rFonts w:cs="Times New Roman"/>
          <w:szCs w:val="18"/>
        </w:rPr>
        <w:t xml:space="preserve"> IMF December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1CA2"/>
    <w:multiLevelType w:val="hybridMultilevel"/>
    <w:tmpl w:val="99A8397A"/>
    <w:lvl w:ilvl="0" w:tplc="A844D7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F5D10"/>
    <w:multiLevelType w:val="hybridMultilevel"/>
    <w:tmpl w:val="B762BC98"/>
    <w:lvl w:ilvl="0" w:tplc="A0C41DEE">
      <w:start w:val="1"/>
      <w:numFmt w:val="lowerRoman"/>
      <w:lvlText w:val="%1."/>
      <w:lvlJc w:val="righ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nsid w:val="11691C0D"/>
    <w:multiLevelType w:val="hybridMultilevel"/>
    <w:tmpl w:val="99D0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E4F71"/>
    <w:multiLevelType w:val="hybridMultilevel"/>
    <w:tmpl w:val="062AD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A5C23"/>
    <w:multiLevelType w:val="hybridMultilevel"/>
    <w:tmpl w:val="EA78C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517C4"/>
    <w:multiLevelType w:val="hybridMultilevel"/>
    <w:tmpl w:val="E7987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8721E"/>
    <w:multiLevelType w:val="hybridMultilevel"/>
    <w:tmpl w:val="8C82C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422E3"/>
    <w:multiLevelType w:val="hybridMultilevel"/>
    <w:tmpl w:val="7ADE1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C2A30"/>
    <w:multiLevelType w:val="hybridMultilevel"/>
    <w:tmpl w:val="6866A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555F3"/>
    <w:multiLevelType w:val="hybridMultilevel"/>
    <w:tmpl w:val="BF8AC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3071B"/>
    <w:multiLevelType w:val="hybridMultilevel"/>
    <w:tmpl w:val="936030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F92FE4"/>
    <w:multiLevelType w:val="hybridMultilevel"/>
    <w:tmpl w:val="08C6FE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B67F5C"/>
    <w:multiLevelType w:val="hybridMultilevel"/>
    <w:tmpl w:val="952AF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004B1"/>
    <w:multiLevelType w:val="hybridMultilevel"/>
    <w:tmpl w:val="63D8A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271F8"/>
    <w:multiLevelType w:val="hybridMultilevel"/>
    <w:tmpl w:val="73482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967AF"/>
    <w:multiLevelType w:val="hybridMultilevel"/>
    <w:tmpl w:val="C7D8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85D8E"/>
    <w:multiLevelType w:val="hybridMultilevel"/>
    <w:tmpl w:val="A9F0E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525980"/>
    <w:multiLevelType w:val="hybridMultilevel"/>
    <w:tmpl w:val="76C03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14"/>
  </w:num>
  <w:num w:numId="5">
    <w:abstractNumId w:val="7"/>
  </w:num>
  <w:num w:numId="6">
    <w:abstractNumId w:val="2"/>
  </w:num>
  <w:num w:numId="7">
    <w:abstractNumId w:val="6"/>
  </w:num>
  <w:num w:numId="8">
    <w:abstractNumId w:val="17"/>
  </w:num>
  <w:num w:numId="9">
    <w:abstractNumId w:val="9"/>
  </w:num>
  <w:num w:numId="10">
    <w:abstractNumId w:val="4"/>
  </w:num>
  <w:num w:numId="11">
    <w:abstractNumId w:val="16"/>
  </w:num>
  <w:num w:numId="12">
    <w:abstractNumId w:val="10"/>
  </w:num>
  <w:num w:numId="13">
    <w:abstractNumId w:val="12"/>
  </w:num>
  <w:num w:numId="14">
    <w:abstractNumId w:val="5"/>
  </w:num>
  <w:num w:numId="15">
    <w:abstractNumId w:val="8"/>
  </w:num>
  <w:num w:numId="16">
    <w:abstractNumId w:val="11"/>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F9"/>
    <w:rsid w:val="004526F9"/>
    <w:rsid w:val="004C002E"/>
    <w:rsid w:val="00566CFA"/>
    <w:rsid w:val="00951B16"/>
    <w:rsid w:val="00955F4C"/>
    <w:rsid w:val="009B3880"/>
    <w:rsid w:val="00A83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F9"/>
    <w:pPr>
      <w:spacing w:after="200" w:line="276" w:lineRule="auto"/>
    </w:pPr>
  </w:style>
  <w:style w:type="paragraph" w:styleId="Heading1">
    <w:name w:val="heading 1"/>
    <w:basedOn w:val="Normal"/>
    <w:next w:val="Normal"/>
    <w:link w:val="Heading1Char"/>
    <w:uiPriority w:val="9"/>
    <w:qFormat/>
    <w:rsid w:val="004526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B38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26F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526F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526F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F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4526F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4526F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526F9"/>
    <w:rPr>
      <w:rFonts w:asciiTheme="majorHAnsi" w:eastAsiaTheme="majorEastAsia" w:hAnsiTheme="majorHAnsi" w:cstheme="majorBidi"/>
      <w:color w:val="1F4D78" w:themeColor="accent1" w:themeShade="7F"/>
    </w:rPr>
  </w:style>
  <w:style w:type="paragraph" w:styleId="FootnoteText">
    <w:name w:val="footnote text"/>
    <w:aliases w:val="single space,footnote text,fn,Footnote text,FOOTNOTES,ADB,footnote text Char,fn Char,ADB Char,single space Char Char,pod carou,Текст сноски-FN,Table_Footnote_last,Текст сноски Знак Знак,Текст сноски Знак Знак Знак,Footno,ALTS FOOTNOTE Char"/>
    <w:basedOn w:val="Normal"/>
    <w:link w:val="FootnoteTextChar"/>
    <w:uiPriority w:val="99"/>
    <w:unhideWhenUsed/>
    <w:qFormat/>
    <w:rsid w:val="004526F9"/>
    <w:pPr>
      <w:spacing w:after="0" w:line="240" w:lineRule="auto"/>
    </w:pPr>
    <w:rPr>
      <w:rFonts w:ascii="Times New Roman" w:hAnsi="Times New Roman"/>
      <w:sz w:val="18"/>
      <w:szCs w:val="20"/>
    </w:rPr>
  </w:style>
  <w:style w:type="character" w:customStyle="1" w:styleId="FootnoteTextChar">
    <w:name w:val="Footnote Text Char"/>
    <w:aliases w:val="single space Char,footnote text Char1,fn Char1,Footnote text Char,FOOTNOTES Char,ADB Char1,footnote text Char Char,fn Char Char,ADB Char Char,single space Char Char Char,pod carou Char,Текст сноски-FN Char,Table_Footnote_last Char"/>
    <w:basedOn w:val="DefaultParagraphFont"/>
    <w:link w:val="FootnoteText"/>
    <w:uiPriority w:val="99"/>
    <w:rsid w:val="004526F9"/>
    <w:rPr>
      <w:rFonts w:ascii="Times New Roman" w:hAnsi="Times New Roman"/>
      <w:sz w:val="18"/>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ootnote Reference_LVL64,f"/>
    <w:basedOn w:val="DefaultParagraphFont"/>
    <w:uiPriority w:val="99"/>
    <w:unhideWhenUsed/>
    <w:rsid w:val="004526F9"/>
    <w:rPr>
      <w:vertAlign w:val="superscript"/>
    </w:rPr>
  </w:style>
  <w:style w:type="paragraph" w:styleId="ListParagraph">
    <w:name w:val="List Paragraph"/>
    <w:aliases w:val="References,Bullets,Title Style 1,Numbered List Paragraph,lp1,Citation List,Resume Title,List Paragraph (numbered (a)),Use Case List Paragraph,Liste couleur - Accent 11,Bullet paras,Heading 1.1,ANNEX,List Paragraph1,List Paragraph2"/>
    <w:basedOn w:val="Normal"/>
    <w:link w:val="ListParagraphChar"/>
    <w:uiPriority w:val="34"/>
    <w:qFormat/>
    <w:rsid w:val="004526F9"/>
    <w:pPr>
      <w:ind w:left="720"/>
      <w:contextualSpacing/>
    </w:pPr>
  </w:style>
  <w:style w:type="character" w:customStyle="1" w:styleId="ListParagraphChar">
    <w:name w:val="List Paragraph Char"/>
    <w:aliases w:val="References Char,Bullets Char,Title Style 1 Char,Numbered List Paragraph Char,lp1 Char,Citation List Char,Resume Title Char,List Paragraph (numbered (a)) Char,Use Case List Paragraph Char,Liste couleur - Accent 11 Char,ANNEX Char"/>
    <w:basedOn w:val="DefaultParagraphFont"/>
    <w:link w:val="ListParagraph"/>
    <w:uiPriority w:val="34"/>
    <w:rsid w:val="004526F9"/>
  </w:style>
  <w:style w:type="character" w:customStyle="1" w:styleId="Heading2Char">
    <w:name w:val="Heading 2 Char"/>
    <w:basedOn w:val="DefaultParagraphFont"/>
    <w:link w:val="Heading2"/>
    <w:uiPriority w:val="9"/>
    <w:rsid w:val="009B3880"/>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F9"/>
    <w:pPr>
      <w:spacing w:after="200" w:line="276" w:lineRule="auto"/>
    </w:pPr>
  </w:style>
  <w:style w:type="paragraph" w:styleId="Heading1">
    <w:name w:val="heading 1"/>
    <w:basedOn w:val="Normal"/>
    <w:next w:val="Normal"/>
    <w:link w:val="Heading1Char"/>
    <w:uiPriority w:val="9"/>
    <w:qFormat/>
    <w:rsid w:val="004526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B38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26F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526F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526F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F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4526F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4526F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526F9"/>
    <w:rPr>
      <w:rFonts w:asciiTheme="majorHAnsi" w:eastAsiaTheme="majorEastAsia" w:hAnsiTheme="majorHAnsi" w:cstheme="majorBidi"/>
      <w:color w:val="1F4D78" w:themeColor="accent1" w:themeShade="7F"/>
    </w:rPr>
  </w:style>
  <w:style w:type="paragraph" w:styleId="FootnoteText">
    <w:name w:val="footnote text"/>
    <w:aliases w:val="single space,footnote text,fn,Footnote text,FOOTNOTES,ADB,footnote text Char,fn Char,ADB Char,single space Char Char,pod carou,Текст сноски-FN,Table_Footnote_last,Текст сноски Знак Знак,Текст сноски Знак Знак Знак,Footno,ALTS FOOTNOTE Char"/>
    <w:basedOn w:val="Normal"/>
    <w:link w:val="FootnoteTextChar"/>
    <w:uiPriority w:val="99"/>
    <w:unhideWhenUsed/>
    <w:qFormat/>
    <w:rsid w:val="004526F9"/>
    <w:pPr>
      <w:spacing w:after="0" w:line="240" w:lineRule="auto"/>
    </w:pPr>
    <w:rPr>
      <w:rFonts w:ascii="Times New Roman" w:hAnsi="Times New Roman"/>
      <w:sz w:val="18"/>
      <w:szCs w:val="20"/>
    </w:rPr>
  </w:style>
  <w:style w:type="character" w:customStyle="1" w:styleId="FootnoteTextChar">
    <w:name w:val="Footnote Text Char"/>
    <w:aliases w:val="single space Char,footnote text Char1,fn Char1,Footnote text Char,FOOTNOTES Char,ADB Char1,footnote text Char Char,fn Char Char,ADB Char Char,single space Char Char Char,pod carou Char,Текст сноски-FN Char,Table_Footnote_last Char"/>
    <w:basedOn w:val="DefaultParagraphFont"/>
    <w:link w:val="FootnoteText"/>
    <w:uiPriority w:val="99"/>
    <w:rsid w:val="004526F9"/>
    <w:rPr>
      <w:rFonts w:ascii="Times New Roman" w:hAnsi="Times New Roman"/>
      <w:sz w:val="18"/>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ootnote Reference_LVL64,f"/>
    <w:basedOn w:val="DefaultParagraphFont"/>
    <w:uiPriority w:val="99"/>
    <w:unhideWhenUsed/>
    <w:rsid w:val="004526F9"/>
    <w:rPr>
      <w:vertAlign w:val="superscript"/>
    </w:rPr>
  </w:style>
  <w:style w:type="paragraph" w:styleId="ListParagraph">
    <w:name w:val="List Paragraph"/>
    <w:aliases w:val="References,Bullets,Title Style 1,Numbered List Paragraph,lp1,Citation List,Resume Title,List Paragraph (numbered (a)),Use Case List Paragraph,Liste couleur - Accent 11,Bullet paras,Heading 1.1,ANNEX,List Paragraph1,List Paragraph2"/>
    <w:basedOn w:val="Normal"/>
    <w:link w:val="ListParagraphChar"/>
    <w:uiPriority w:val="34"/>
    <w:qFormat/>
    <w:rsid w:val="004526F9"/>
    <w:pPr>
      <w:ind w:left="720"/>
      <w:contextualSpacing/>
    </w:pPr>
  </w:style>
  <w:style w:type="character" w:customStyle="1" w:styleId="ListParagraphChar">
    <w:name w:val="List Paragraph Char"/>
    <w:aliases w:val="References Char,Bullets Char,Title Style 1 Char,Numbered List Paragraph Char,lp1 Char,Citation List Char,Resume Title Char,List Paragraph (numbered (a)) Char,Use Case List Paragraph Char,Liste couleur - Accent 11 Char,ANNEX Char"/>
    <w:basedOn w:val="DefaultParagraphFont"/>
    <w:link w:val="ListParagraph"/>
    <w:uiPriority w:val="34"/>
    <w:rsid w:val="004526F9"/>
  </w:style>
  <w:style w:type="character" w:customStyle="1" w:styleId="Heading2Char">
    <w:name w:val="Heading 2 Char"/>
    <w:basedOn w:val="DefaultParagraphFont"/>
    <w:link w:val="Heading2"/>
    <w:uiPriority w:val="9"/>
    <w:rsid w:val="009B38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5576</Words>
  <Characters>31786</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Bernasconi</dc:creator>
  <cp:lastModifiedBy>Dina El Husseiny</cp:lastModifiedBy>
  <cp:revision>2</cp:revision>
  <dcterms:created xsi:type="dcterms:W3CDTF">2015-06-01T18:23:00Z</dcterms:created>
  <dcterms:modified xsi:type="dcterms:W3CDTF">2015-06-01T18:23:00Z</dcterms:modified>
</cp:coreProperties>
</file>